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media/image1.png" ContentType="image/png"/>
  <Override PartName="/word/media/image7.jpeg" ContentType="image/jpeg"/>
  <Override PartName="/word/media/image8.wmf" ContentType="image/x-wmf"/>
  <Override PartName="/word/media/image2.wmf" ContentType="image/x-wmf"/>
  <Override PartName="/word/media/image3.wmf" ContentType="image/x-wmf"/>
  <Override PartName="/word/media/image4.wmf" ContentType="image/x-wmf"/>
  <Override PartName="/word/media/image5.wmf" ContentType="image/x-wmf"/>
  <Override PartName="/word/media/image6.wmf" ContentType="image/x-wmf"/>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76"/>
        <w:jc w:val="both"/>
        <w:rPr>
          <w:rFonts w:ascii="Arial" w:hAnsi="Arial" w:cs="Arial"/>
          <w:b/>
          <w:kern w:val="2"/>
          <w:sz w:val="24"/>
          <w:szCs w:val="24"/>
        </w:rPr>
      </w:pPr>
      <w:r>
        <w:rPr>
          <w:rFonts w:cs="Arial" w:ascii="Arial" w:hAnsi="Arial"/>
          <w:b/>
          <w:kern w:val="2"/>
          <w:sz w:val="24"/>
          <w:szCs w:val="24"/>
        </w:rPr>
        <w:t>Aus der Sitzung vom 16.07.2024</w:t>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b/>
          <w:sz w:val="24"/>
          <w:szCs w:val="24"/>
        </w:rPr>
      </w:pPr>
      <w:r>
        <w:rPr>
          <w:rFonts w:cs="Arial" w:ascii="Arial" w:hAnsi="Arial"/>
          <w:b/>
          <w:color w:val="000000"/>
          <w:sz w:val="24"/>
          <w:szCs w:val="22"/>
          <w:lang w:eastAsia="de-DE"/>
        </w:rPr>
        <w:t>Verpflichtung von Ratsmitgliedern</w:t>
      </w:r>
    </w:p>
    <w:p>
      <w:pPr>
        <w:pStyle w:val="Normal"/>
        <w:suppressAutoHyphens w:val="false"/>
        <w:jc w:val="both"/>
        <w:rPr>
          <w:rFonts w:ascii="Arial" w:hAnsi="Arial" w:cs="Arial"/>
          <w:sz w:val="24"/>
          <w:szCs w:val="24"/>
          <w:lang w:eastAsia="de-DE"/>
        </w:rPr>
      </w:pPr>
      <w:r>
        <w:rPr>
          <w:rFonts w:cs="Arial" w:ascii="Arial" w:hAnsi="Arial"/>
          <w:sz w:val="24"/>
          <w:szCs w:val="24"/>
          <w:lang w:eastAsia="de-DE"/>
        </w:rPr>
        <w:t>Der Vorsitzende verpflichtete die Ratsmitglieder Marco Rößler, Nicole Kochan-Platz, Barbara Kiesgen sowie Tanja Mehn vor ihrem Amtsantritt in öffentlicher Sitzung namens der Gemeinde durch Handschlag auf die gewissenhafte Erfüllung ihrer Pflichten (§ 30 Abs. 2 Satz 1 GemO). Er wies darauf hin, dass sich die Pflichten der Ratsmitglieder insbesondere aus den §§ 20, 21 und 30 Abs. 1 GemO (VV Nr. 2 zu § 30 GemO) ergeben. Im Besonderen wies er auf die Schweige- und Treuepflichten der Ratsmitglieder (§§ 20 und 21 GemO) hin.</w:t>
      </w:r>
    </w:p>
    <w:p>
      <w:pPr>
        <w:pStyle w:val="Normal"/>
        <w:suppressAutoHyphens w:val="false"/>
        <w:rPr>
          <w:rFonts w:ascii="Arial" w:hAnsi="Arial" w:cs="Arial"/>
          <w:sz w:val="24"/>
          <w:szCs w:val="24"/>
        </w:rPr>
      </w:pPr>
      <w:r>
        <w:rPr>
          <w:rFonts w:cs="Arial" w:ascii="Arial" w:hAnsi="Arial"/>
          <w:sz w:val="24"/>
          <w:szCs w:val="24"/>
        </w:rPr>
      </w:r>
    </w:p>
    <w:p>
      <w:pPr>
        <w:pStyle w:val="Normal"/>
        <w:jc w:val="both"/>
        <w:rPr>
          <w:rFonts w:ascii="Arial" w:hAnsi="Arial" w:cs="Arial"/>
          <w:b/>
          <w:sz w:val="24"/>
          <w:szCs w:val="24"/>
        </w:rPr>
      </w:pPr>
      <w:r>
        <w:rPr>
          <w:rFonts w:cs="Arial" w:ascii="Arial" w:hAnsi="Arial"/>
          <w:b/>
          <w:sz w:val="24"/>
          <w:szCs w:val="24"/>
        </w:rPr>
        <w:t>Bebauungsplan „Hinter Goldschmitsgraben“ – Information über die im Rahmen der frühzeitigen Öffentlichkeitsbeteiligung gemäß § 3 Abs. 1 und § 4 Abs. 1 Baugesetzbuch (BauGB) eingegangenen Stellungnahmen sowie Beratung und Beschlussfassung über die Planbilligung und die Veröffentlichung der Planunterlagen</w:t>
      </w:r>
    </w:p>
    <w:p>
      <w:pPr>
        <w:pStyle w:val="Normal"/>
        <w:jc w:val="both"/>
        <w:rPr>
          <w:rFonts w:ascii="Arial" w:hAnsi="Arial" w:cs="Arial"/>
          <w:sz w:val="24"/>
          <w:szCs w:val="24"/>
          <w:lang w:eastAsia="en-US"/>
        </w:rPr>
      </w:pPr>
      <w:r>
        <w:rPr>
          <w:rFonts w:cs="Arial" w:ascii="Arial" w:hAnsi="Arial"/>
          <w:sz w:val="24"/>
          <w:szCs w:val="24"/>
        </w:rPr>
        <w:t xml:space="preserve">Der Gemeinderat hat am 21.05.2019 in öffentlicher Sitzung den Aufstellungsbeschluss für den o. g. Bebauungsplan gefasst. Die Planunterlagen wurden am 18.10.2022 gebilligt. </w:t>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t xml:space="preserve">Der Aufstellungsbeschluss wurde in den Mittelmosel Nachrichten am 27.10.2022 bekanntgemacht. In diesem Zusammenhang fand die frühzeitige Beteiligung der Öffentlichkeit gemäß § 3 Abs. 1 BauGB im Zeitraum vom 04.11.2022 bis einschließlich 05.12.2022 statt. Gleichzeitig wurden die Behörden und Träger öffentlicher Belange gemäß § 4 Abs. 1 BauGB sowie die Nachbargemeinden nach § 2 Abs. 2 BauGB beteiligt. </w:t>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t xml:space="preserve">Über die im Rahmen der frühzeitigen Beteiligung eingegangenen Stellungnahmen </w:t>
      </w:r>
      <w:r>
        <w:rPr>
          <w:rFonts w:eastAsia="MS Gothic" w:cs="Arial" w:ascii="Arial" w:hAnsi="Arial"/>
          <w:sz w:val="24"/>
        </w:rPr>
        <w:t xml:space="preserve">wurde der Gemeinderat in seiner Sitzung am 17.01.2023 bereits vorab informiert. Daraufhin wurden diverse Untersuchungen beauftragt und weitreichende Änderungen an der Planung vorgenommen. Zuletzt wurde die Planung durch Gemeinderatsbeschluss vom 06.02.2024 stark verkleinert. Die Lärmberechnungen wurde auf dieser Grundlage erneuert und das Lärmgutachten ausgearbeitet. Das Gutachten sowie alle Planunterlagen waren den Sitzungsunterlagen beigefügt. </w:t>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t>Die eingegangenen Stellungnahmen wurden in einer Liste zusammengefasst. Diese war der Sitzungsvorlage ebenfalls beigefügt. Die Ortsgemeinde hat die eingegangenen Anregungen zur Kenntnis zu nehmen und über die umfassend geänderte Planung zu beraten. Anschließend ist über das weitere Verfahren zu beschließen. Der Vertreter des Planungsbüros erläuterte ausführlich die Entwicklungen der Planung in den letzten Jahren sowie die vorgenommenen Änderungen und das weitere Vorgehen.</w:t>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t xml:space="preserve">Das weitere Verfahren sieht die Beteiligung der Öffentlichkeit gemäß § 3 Abs. 2 BauGB und die Beteiligung der Behörden und Träger öffentlicher Belange gemäß § 4 Abs. 2 BauGB sowie die Beteiligung der Nachbargemeinden nach § 2 Abs. 2 BauGB vor. </w:t>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t xml:space="preserve">Der II. Beigeordnete trug hierzu einen Fragenkatalog vor. Die Fragen wurden überwiegend durch den Vortrag des Planers sowie den Ausführungen von Frau Jüngling mündlich in der Sitzung beantwortet. </w:t>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t xml:space="preserve">Es erfolgte eine kontroverse Diskussion über die Verkleinerung des Gebietes und dessen Wirtschaftlichkeit. Frau Jüngling erläuterte die Kostenkalkulation der Verbandsgemeinde, welche jedem Ratsmitglied vorlag. </w:t>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t xml:space="preserve">Im Anschluss daran stellte der II. Beigeordnete den Antrag, den Tagesordnungspunkt zu vertagen. </w:t>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t xml:space="preserve">Dieser Antrag wurde durch den Gemeinderat abgelehnt. </w:t>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lang w:eastAsia="de-DE"/>
        </w:rPr>
      </w:pPr>
      <w:r>
        <w:rPr>
          <w:rFonts w:cs="Arial" w:ascii="Arial" w:hAnsi="Arial"/>
          <w:sz w:val="24"/>
          <w:szCs w:val="24"/>
          <w:lang w:eastAsia="de-DE"/>
        </w:rPr>
        <w:t>Die Ortsgemeinde Lieser fasst folgende Beschlüsse:</w:t>
      </w:r>
    </w:p>
    <w:p>
      <w:pPr>
        <w:pStyle w:val="Normal"/>
        <w:jc w:val="both"/>
        <w:rPr>
          <w:rFonts w:ascii="Arial" w:hAnsi="Arial" w:cs="Arial"/>
          <w:sz w:val="24"/>
          <w:szCs w:val="24"/>
          <w:lang w:eastAsia="de-DE"/>
        </w:rPr>
      </w:pPr>
      <w:r>
        <w:rPr>
          <w:rFonts w:cs="Arial" w:ascii="Arial" w:hAnsi="Arial"/>
          <w:sz w:val="24"/>
          <w:szCs w:val="24"/>
          <w:lang w:eastAsia="de-DE"/>
        </w:rPr>
      </w:r>
    </w:p>
    <w:p>
      <w:pPr>
        <w:pStyle w:val="Normal"/>
        <w:numPr>
          <w:ilvl w:val="0"/>
          <w:numId w:val="28"/>
        </w:numPr>
        <w:suppressAutoHyphens w:val="false"/>
        <w:spacing w:lineRule="auto" w:line="276" w:before="0" w:after="200"/>
        <w:jc w:val="both"/>
        <w:rPr>
          <w:rFonts w:ascii="Arial" w:hAnsi="Arial" w:cs="Arial"/>
          <w:sz w:val="24"/>
          <w:szCs w:val="24"/>
          <w:lang w:eastAsia="de-DE"/>
        </w:rPr>
      </w:pPr>
      <w:r>
        <w:rPr>
          <w:rFonts w:cs="Arial" w:ascii="Arial" w:hAnsi="Arial"/>
          <w:sz w:val="24"/>
          <w:szCs w:val="24"/>
          <w:lang w:eastAsia="de-DE"/>
        </w:rPr>
        <w:t>Für den im Vorentwurf vom 03. Juli 2024 dargestellten Bereich wird nach § 2 Abs. 1 Baugesetzbuch (BauGB) ein Bebauungsplan aufgestellt. Das Plangebiet befindet sich nordwestlich der Ortslage von Lieser.</w:t>
      </w:r>
    </w:p>
    <w:p>
      <w:pPr>
        <w:pStyle w:val="Normal"/>
        <w:ind w:left="720"/>
        <w:jc w:val="both"/>
        <w:rPr>
          <w:rFonts w:ascii="Arial" w:hAnsi="Arial" w:cs="Arial"/>
          <w:sz w:val="24"/>
          <w:szCs w:val="24"/>
          <w:lang w:eastAsia="de-DE"/>
        </w:rPr>
      </w:pPr>
      <w:r>
        <w:rPr>
          <w:rFonts w:cs="Arial" w:ascii="Arial" w:hAnsi="Arial"/>
          <w:sz w:val="24"/>
          <w:szCs w:val="24"/>
          <w:lang w:eastAsia="de-DE"/>
        </w:rPr>
        <w:t xml:space="preserve">Die Gebietsabgrenzung umfasst die Grundstücke, Gemarkung Lieser, Flur 25, Nr. 42, 43, 44, 45 ,46, 75/2, 104, 105, 106, 107, 108, 109/8, 119 tw. und 120 tw. </w:t>
      </w:r>
    </w:p>
    <w:p>
      <w:pPr>
        <w:pStyle w:val="Normal"/>
        <w:ind w:left="720"/>
        <w:jc w:val="both"/>
        <w:rPr>
          <w:rFonts w:ascii="Arial" w:hAnsi="Arial" w:cs="Arial"/>
          <w:sz w:val="24"/>
          <w:szCs w:val="24"/>
          <w:lang w:eastAsia="de-DE"/>
        </w:rPr>
      </w:pPr>
      <w:r>
        <w:rPr>
          <w:rFonts w:cs="Arial" w:ascii="Arial" w:hAnsi="Arial"/>
          <w:sz w:val="24"/>
          <w:szCs w:val="24"/>
          <w:lang w:eastAsia="de-DE"/>
        </w:rPr>
      </w:r>
    </w:p>
    <w:p>
      <w:pPr>
        <w:pStyle w:val="Normal"/>
        <w:numPr>
          <w:ilvl w:val="0"/>
          <w:numId w:val="3"/>
        </w:numPr>
        <w:suppressAutoHyphens w:val="false"/>
        <w:spacing w:lineRule="auto" w:line="276" w:before="0" w:after="200"/>
        <w:jc w:val="both"/>
        <w:rPr>
          <w:rFonts w:ascii="Arial" w:hAnsi="Arial" w:cs="Arial"/>
          <w:sz w:val="24"/>
          <w:szCs w:val="24"/>
          <w:lang w:eastAsia="de-DE"/>
        </w:rPr>
      </w:pPr>
      <w:r>
        <w:rPr>
          <w:rFonts w:cs="Arial" w:ascii="Arial" w:hAnsi="Arial"/>
          <w:sz w:val="24"/>
          <w:szCs w:val="24"/>
        </w:rPr>
        <w:t>Die eingegangenen Stellungnahmen zum Entwurf des Bebauungsplanes „</w:t>
      </w:r>
      <w:r>
        <w:rPr>
          <w:rFonts w:cs="Arial" w:ascii="Arial" w:hAnsi="Arial"/>
          <w:sz w:val="24"/>
        </w:rPr>
        <w:t>Hinter Goldschmitsgraben</w:t>
      </w:r>
      <w:r>
        <w:rPr>
          <w:rFonts w:cs="Arial" w:ascii="Arial" w:hAnsi="Arial"/>
          <w:sz w:val="24"/>
          <w:szCs w:val="24"/>
        </w:rPr>
        <w:t xml:space="preserve">" werden zur Kenntnis genommen. Auf Grund des komplett neuen Entwurfs des Bebauungsplans erfolgt keine einzelne Abwägung der jeweiligen Stellungnahmen. Vielmehr sind alle aus der frühzeitigen Beteiligung gewonnenen Erkenntnisse in die neue Planung mit eingeflossen. </w:t>
      </w:r>
    </w:p>
    <w:p>
      <w:pPr>
        <w:pStyle w:val="Normal"/>
        <w:numPr>
          <w:ilvl w:val="0"/>
          <w:numId w:val="3"/>
        </w:numPr>
        <w:suppressAutoHyphens w:val="false"/>
        <w:spacing w:lineRule="auto" w:line="276" w:before="0" w:after="200"/>
        <w:jc w:val="both"/>
        <w:rPr>
          <w:rFonts w:ascii="Arial" w:hAnsi="Arial" w:eastAsia="Calibri" w:cs="Arial" w:eastAsiaTheme="minorHAnsi"/>
          <w:sz w:val="24"/>
          <w:szCs w:val="24"/>
          <w:lang w:eastAsia="en-US"/>
        </w:rPr>
      </w:pPr>
      <w:r>
        <w:rPr>
          <w:rFonts w:cs="Arial" w:ascii="Arial" w:hAnsi="Arial"/>
          <w:sz w:val="24"/>
          <w:szCs w:val="24"/>
        </w:rPr>
        <w:t xml:space="preserve">Die Entwurfsplanung Stand 03. Juli 2024 (Planentwurf, Textfestsetzungen, Begründung, Umweltbericht einschließlich Bestands- und Maßnahmenplan), wird gebilligt und dem weiteren Verfahren (Veröffentlichung der Planunterlagen [Dauer: 1 Monat], Beteiligung der Träger öffentlicher Belange und der Nachbargemeinden) wird zugestimmt. </w:t>
      </w:r>
    </w:p>
    <w:p>
      <w:pPr>
        <w:pStyle w:val="Normal"/>
        <w:jc w:val="both"/>
        <w:rPr>
          <w:rFonts w:ascii="Arial" w:hAnsi="Arial" w:cs="Arial"/>
          <w:sz w:val="24"/>
          <w:szCs w:val="24"/>
        </w:rPr>
      </w:pPr>
      <w:r>
        <w:rPr>
          <w:rFonts w:cs="Arial" w:ascii="Arial" w:hAnsi="Arial"/>
          <w:sz w:val="24"/>
          <w:szCs w:val="24"/>
        </w:rPr>
        <w:t>Die Ratsmitglieder Nicole Kochan-Platz und Silvia Becker nahmen gemäß § 22 GemO an der Beratung und Beschlussfassung zu diesem Tagesordnungspunkt nicht teil und im Zuhörerraum Platz.</w:t>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b/>
          <w:sz w:val="24"/>
          <w:szCs w:val="24"/>
        </w:rPr>
      </w:pPr>
      <w:r>
        <w:rPr>
          <w:rFonts w:cs="Arial" w:ascii="Arial" w:hAnsi="Arial"/>
          <w:b/>
          <w:sz w:val="24"/>
          <w:szCs w:val="24"/>
        </w:rPr>
        <w:t>Sachstand Planung Solarfeld</w:t>
      </w:r>
    </w:p>
    <w:p>
      <w:pPr>
        <w:pStyle w:val="Normal"/>
        <w:jc w:val="both"/>
        <w:rPr>
          <w:rFonts w:ascii="Arial" w:hAnsi="Arial" w:cs="Arial"/>
          <w:sz w:val="24"/>
          <w:szCs w:val="24"/>
        </w:rPr>
      </w:pPr>
      <w:r>
        <w:rPr>
          <w:rFonts w:cs="Arial" w:ascii="Arial" w:hAnsi="Arial"/>
          <w:sz w:val="24"/>
          <w:szCs w:val="24"/>
        </w:rPr>
        <w:t xml:space="preserve">Auf dem Plateau in der Nähe des Friedwaldes ist die Errichtung eines Solarfeldes angedacht. </w:t>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t xml:space="preserve">Nach Wertung von 3 eingegangenen Angeboten zur Entwicklung der Solarfelder wurde der Firma WI Energy GmbH der Zuschlag erteilt. Derzeit erfolgt die Prüfung des Vertrages durch die Verbandsgemeindeverwaltung. </w:t>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t>Das Konzept der o.g. Firma wird den Ratsmitgliedern per Email zur Information übermittelt. Der Gemeinderat nahm die Information zur Kenntnis.</w:t>
      </w:r>
    </w:p>
    <w:p>
      <w:pPr>
        <w:pStyle w:val="Normal"/>
        <w:jc w:val="both"/>
        <w:rPr>
          <w:rFonts w:ascii="Arial" w:hAnsi="Arial" w:cs="Arial"/>
          <w:b/>
          <w:sz w:val="24"/>
          <w:szCs w:val="24"/>
        </w:rPr>
      </w:pPr>
      <w:r>
        <w:rPr>
          <w:rFonts w:cs="Arial" w:ascii="Arial" w:hAnsi="Arial"/>
          <w:b/>
          <w:sz w:val="24"/>
          <w:szCs w:val="24"/>
        </w:rPr>
      </w:r>
    </w:p>
    <w:p>
      <w:pPr>
        <w:pStyle w:val="Normal"/>
        <w:jc w:val="both"/>
        <w:rPr>
          <w:rFonts w:ascii="Arial" w:hAnsi="Arial" w:cs="Arial"/>
          <w:b/>
          <w:sz w:val="24"/>
          <w:szCs w:val="24"/>
        </w:rPr>
      </w:pPr>
      <w:r>
        <w:rPr>
          <w:rFonts w:cs="Arial" w:ascii="Arial" w:hAnsi="Arial"/>
          <w:b/>
          <w:sz w:val="24"/>
          <w:szCs w:val="24"/>
        </w:rPr>
        <w:t>Sachstand Planungsvergabe Heizanlage</w:t>
      </w:r>
    </w:p>
    <w:p>
      <w:pPr>
        <w:pStyle w:val="Normal"/>
        <w:jc w:val="both"/>
        <w:rPr>
          <w:rFonts w:ascii="Arial" w:hAnsi="Arial" w:cs="Arial"/>
          <w:sz w:val="24"/>
          <w:szCs w:val="24"/>
        </w:rPr>
      </w:pPr>
      <w:r>
        <w:rPr>
          <w:rFonts w:cs="Arial" w:ascii="Arial" w:hAnsi="Arial"/>
          <w:sz w:val="24"/>
          <w:szCs w:val="24"/>
        </w:rPr>
        <w:t xml:space="preserve">Die Ortsgemeinde hat den Platz neben der Turnhalle erworben, um eine Erweiterungsmöglichkeit und ggf. eine Fläche für eine zentrale Wärmeversorgung (für Kindergarten, Bauhof, Turnhalle und Dorfgemeinschaftseinrichtung) zur Verfügung zu haben. </w:t>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t xml:space="preserve">Im April diesen Jahres erfolgte eine Besichtigung und eine Beratung mit der Verbandsgemeindeverwaltung. Im Anschluss daran wurde eine Ausschreibung zur Vergabe der Planungsleistungen durchgeführt. </w:t>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t>Die Firma Bayer &amp; Friedrich hat das wirtschaftlichste Angebot abgegeben, der Auftrag wurde bereits erteilt. Nunmehr wird von dort eine Konzeptplanung erarbeitet. Der Gemeinderat nahm die Information zur Kenntnis.</w:t>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b/>
          <w:sz w:val="24"/>
          <w:szCs w:val="24"/>
        </w:rPr>
      </w:pPr>
      <w:r>
        <w:rPr>
          <w:rFonts w:cs="Arial" w:ascii="Arial" w:hAnsi="Arial"/>
          <w:b/>
          <w:sz w:val="24"/>
          <w:szCs w:val="24"/>
        </w:rPr>
        <w:t>Beratung und Beschlussfassung über die Anschaffung eines Toilettenwagens</w:t>
      </w:r>
    </w:p>
    <w:p>
      <w:pPr>
        <w:pStyle w:val="Normal"/>
        <w:jc w:val="both"/>
        <w:rPr>
          <w:rFonts w:ascii="Arial" w:hAnsi="Arial" w:cs="Arial"/>
          <w:b/>
          <w:sz w:val="24"/>
          <w:szCs w:val="24"/>
        </w:rPr>
      </w:pPr>
      <w:r>
        <w:rPr>
          <w:rFonts w:cs="Arial" w:ascii="Arial" w:hAnsi="Arial"/>
          <w:b/>
          <w:sz w:val="24"/>
          <w:szCs w:val="24"/>
        </w:rPr>
        <w:t>a) Art und Typ des Modells</w:t>
      </w:r>
    </w:p>
    <w:p>
      <w:pPr>
        <w:pStyle w:val="Normal"/>
        <w:jc w:val="both"/>
        <w:rPr>
          <w:rFonts w:ascii="Arial" w:hAnsi="Arial" w:cs="Arial"/>
          <w:bCs/>
          <w:vanish/>
          <w:sz w:val="24"/>
          <w:szCs w:val="24"/>
        </w:rPr>
      </w:pPr>
      <w:r>
        <w:rPr>
          <w:rFonts w:cs="Arial" w:ascii="Arial" w:hAnsi="Arial"/>
          <w:bCs/>
          <w:sz w:val="24"/>
          <w:szCs w:val="24"/>
        </w:rPr>
        <w:t>Für die Anschaffung stehen insgesamt 20.500 € zur Verfügung, hiervon entfallen 10.000 auf Haushaltsmittel, 5.000 € auf die Spende des Heimat- und Verkehrsvereins und 5.500 € auf Sponsoringleistungen. Der Vorsitzende erläuterte, warum die Anschaffung eines zusätzlichen Fäkalientanks für den Toilettenwagen keinen Sinn mache. Sollte dieser bei einer Veranstaltung erforderlich sein, könnten Tanks dieser Art bei entsprechenden Entsorgungsbetrieben gemietet werden.</w:t>
      </w:r>
    </w:p>
    <w:p>
      <w:pPr>
        <w:pStyle w:val="Normal"/>
        <w:jc w:val="both"/>
        <w:rPr>
          <w:rFonts w:ascii="Arial" w:hAnsi="Arial" w:cs="Arial"/>
          <w:bCs/>
          <w:sz w:val="24"/>
          <w:szCs w:val="24"/>
        </w:rPr>
      </w:pPr>
      <w:r>
        <w:rPr>
          <w:rFonts w:cs="Arial" w:ascii="Arial" w:hAnsi="Arial"/>
          <w:bCs/>
          <w:sz w:val="24"/>
          <w:szCs w:val="24"/>
        </w:rPr>
        <w:t xml:space="preserve"> </w:t>
      </w:r>
      <w:r>
        <w:rPr>
          <w:rFonts w:cs="Arial" w:ascii="Arial" w:hAnsi="Arial"/>
          <w:bCs/>
          <w:sz w:val="24"/>
          <w:szCs w:val="24"/>
        </w:rPr>
        <w:t xml:space="preserve">Der Toilettenwagen soll künftig überdacht abgestellt werden. </w:t>
      </w:r>
    </w:p>
    <w:p>
      <w:pPr>
        <w:pStyle w:val="Normal"/>
        <w:jc w:val="both"/>
        <w:rPr>
          <w:rFonts w:ascii="Arial" w:hAnsi="Arial" w:cs="Arial"/>
          <w:bCs/>
          <w:sz w:val="24"/>
          <w:szCs w:val="24"/>
        </w:rPr>
      </w:pPr>
      <w:r>
        <w:rPr>
          <w:rFonts w:cs="Arial" w:ascii="Arial" w:hAnsi="Arial"/>
          <w:bCs/>
          <w:sz w:val="24"/>
          <w:szCs w:val="24"/>
        </w:rPr>
      </w:r>
    </w:p>
    <w:p>
      <w:pPr>
        <w:pStyle w:val="Normal"/>
        <w:jc w:val="both"/>
        <w:rPr>
          <w:rFonts w:ascii="Arial" w:hAnsi="Arial" w:cs="Arial"/>
          <w:bCs/>
          <w:sz w:val="24"/>
          <w:szCs w:val="24"/>
        </w:rPr>
      </w:pPr>
      <w:r>
        <w:rPr>
          <w:rFonts w:cs="Arial" w:ascii="Arial" w:hAnsi="Arial"/>
          <w:bCs/>
          <w:sz w:val="24"/>
          <w:szCs w:val="24"/>
        </w:rPr>
        <w:t xml:space="preserve">Nach Durchsicht der einzelnen Wagen und Angebote entschied sich der Gemeinderat Für das Model Nr. 1 (Einachser) mit 2 WC´s für Damen, 1 WC und 3 Urinale für Herren zum Preis von 21.500 €. </w:t>
      </w:r>
    </w:p>
    <w:p>
      <w:pPr>
        <w:pStyle w:val="Normal"/>
        <w:jc w:val="both"/>
        <w:rPr>
          <w:rFonts w:ascii="Arial" w:hAnsi="Arial" w:cs="Arial"/>
          <w:bCs/>
          <w:sz w:val="24"/>
          <w:szCs w:val="24"/>
        </w:rPr>
      </w:pPr>
      <w:r>
        <w:rPr>
          <w:rFonts w:cs="Arial" w:ascii="Arial" w:hAnsi="Arial"/>
          <w:bCs/>
          <w:sz w:val="24"/>
          <w:szCs w:val="24"/>
        </w:rPr>
      </w:r>
    </w:p>
    <w:p>
      <w:pPr>
        <w:pStyle w:val="Normal"/>
        <w:jc w:val="both"/>
        <w:rPr>
          <w:rFonts w:ascii="Arial" w:hAnsi="Arial" w:cs="Arial"/>
          <w:b/>
          <w:sz w:val="24"/>
          <w:szCs w:val="24"/>
        </w:rPr>
      </w:pPr>
      <w:r>
        <w:rPr>
          <w:rFonts w:cs="Arial" w:ascii="Arial" w:hAnsi="Arial"/>
          <w:b/>
          <w:sz w:val="24"/>
          <w:szCs w:val="24"/>
        </w:rPr>
        <w:t>b) Annahme von Sponsoringleistungen</w:t>
      </w:r>
    </w:p>
    <w:p>
      <w:pPr>
        <w:pStyle w:val="Normal"/>
        <w:suppressAutoHyphens w:val="false"/>
        <w:jc w:val="both"/>
        <w:rPr>
          <w:rFonts w:ascii="Arial" w:hAnsi="Arial" w:cs="Arial"/>
          <w:sz w:val="24"/>
          <w:szCs w:val="24"/>
          <w:lang w:eastAsia="de-DE"/>
        </w:rPr>
      </w:pPr>
      <w:r>
        <w:rPr>
          <w:rFonts w:cs="Arial" w:ascii="Arial" w:hAnsi="Arial"/>
          <w:sz w:val="24"/>
          <w:szCs w:val="24"/>
          <w:lang w:eastAsia="de-DE"/>
        </w:rPr>
        <w:t>Durch den Rat wurde per Haushaltsbeschluss festgelegt, 2024 den stark sanierungsbedürftigen Toilettenwagen der Gemeinde durch die Anschaffung eines neuen zu ersetzen.</w:t>
      </w:r>
    </w:p>
    <w:p>
      <w:pPr>
        <w:pStyle w:val="Normal"/>
        <w:suppressAutoHyphens w:val="false"/>
        <w:jc w:val="both"/>
        <w:rPr>
          <w:rFonts w:ascii="Arial" w:hAnsi="Arial" w:cs="Arial"/>
          <w:sz w:val="24"/>
          <w:szCs w:val="24"/>
          <w:lang w:eastAsia="de-DE"/>
        </w:rPr>
      </w:pPr>
      <w:r>
        <w:rPr>
          <w:rFonts w:cs="Arial" w:ascii="Arial" w:hAnsi="Arial"/>
          <w:sz w:val="24"/>
          <w:szCs w:val="24"/>
          <w:lang w:eastAsia="de-DE"/>
        </w:rPr>
      </w:r>
    </w:p>
    <w:p>
      <w:pPr>
        <w:pStyle w:val="Normal"/>
        <w:suppressAutoHyphens w:val="false"/>
        <w:jc w:val="both"/>
        <w:rPr>
          <w:rFonts w:ascii="Arial" w:hAnsi="Arial" w:cs="Arial"/>
          <w:sz w:val="24"/>
          <w:szCs w:val="24"/>
          <w:lang w:eastAsia="de-DE"/>
        </w:rPr>
      </w:pPr>
      <w:r>
        <w:rPr>
          <w:rFonts w:cs="Arial" w:ascii="Arial" w:hAnsi="Arial"/>
          <w:sz w:val="24"/>
          <w:szCs w:val="24"/>
          <w:lang w:eastAsia="de-DE"/>
        </w:rPr>
        <w:t>Um die Maßnahme abschließend finanzieren zu können, wurden verschiedene Firmen durch den 1. Beigeordneten auf die Möglichkeit eines Sponsorings angesprochen.</w:t>
      </w:r>
    </w:p>
    <w:p>
      <w:pPr>
        <w:pStyle w:val="Normal"/>
        <w:suppressAutoHyphens w:val="false"/>
        <w:jc w:val="both"/>
        <w:rPr>
          <w:rFonts w:ascii="Arial" w:hAnsi="Arial" w:cs="Arial"/>
          <w:sz w:val="24"/>
          <w:szCs w:val="24"/>
          <w:lang w:eastAsia="de-DE"/>
        </w:rPr>
      </w:pPr>
      <w:r>
        <w:rPr>
          <w:rFonts w:cs="Arial" w:ascii="Arial" w:hAnsi="Arial"/>
          <w:sz w:val="24"/>
          <w:szCs w:val="24"/>
          <w:lang w:eastAsia="de-DE"/>
        </w:rPr>
      </w:r>
    </w:p>
    <w:p>
      <w:pPr>
        <w:pStyle w:val="Normal"/>
        <w:suppressAutoHyphens w:val="false"/>
        <w:jc w:val="both"/>
        <w:rPr>
          <w:rFonts w:ascii="Arial" w:hAnsi="Arial" w:cs="Arial"/>
          <w:sz w:val="24"/>
          <w:szCs w:val="24"/>
          <w:lang w:eastAsia="de-DE"/>
        </w:rPr>
      </w:pPr>
      <w:r>
        <w:rPr>
          <w:rFonts w:cs="Arial" w:ascii="Arial" w:hAnsi="Arial"/>
          <w:sz w:val="24"/>
          <w:szCs w:val="24"/>
          <w:lang w:eastAsia="de-DE"/>
        </w:rPr>
        <w:t>Es hat sich ein weiteres Unternehmen gefunden, das die Maßnahme mit einem Betrag von 500 € unterstützen will.</w:t>
      </w:r>
    </w:p>
    <w:p>
      <w:pPr>
        <w:pStyle w:val="Normal"/>
        <w:suppressAutoHyphens w:val="false"/>
        <w:jc w:val="both"/>
        <w:rPr>
          <w:rFonts w:ascii="Arial" w:hAnsi="Arial" w:cs="Arial"/>
          <w:sz w:val="24"/>
          <w:szCs w:val="24"/>
          <w:lang w:eastAsia="de-DE"/>
        </w:rPr>
      </w:pPr>
      <w:r>
        <w:rPr>
          <w:rFonts w:cs="Arial" w:ascii="Arial" w:hAnsi="Arial"/>
          <w:sz w:val="24"/>
          <w:szCs w:val="24"/>
          <w:lang w:eastAsia="de-DE"/>
        </w:rPr>
      </w:r>
    </w:p>
    <w:p>
      <w:pPr>
        <w:pStyle w:val="Normal"/>
        <w:suppressAutoHyphens w:val="false"/>
        <w:jc w:val="both"/>
        <w:rPr>
          <w:rFonts w:ascii="Arial" w:hAnsi="Arial" w:cs="Arial"/>
          <w:sz w:val="24"/>
          <w:szCs w:val="24"/>
          <w:lang w:eastAsia="de-DE"/>
        </w:rPr>
      </w:pPr>
      <w:r>
        <w:rPr>
          <w:rFonts w:cs="Arial" w:ascii="Arial" w:hAnsi="Arial"/>
          <w:sz w:val="24"/>
          <w:szCs w:val="24"/>
          <w:lang w:eastAsia="de-DE"/>
        </w:rPr>
        <w:t>Vorbehaltlich der Zustimmung durch die Aufsichtsbehörde hat der Rat über die Annahme des Sponsorings zu entscheiden. Es handelt sich hierbei um das nachfolgend aufgeführte Unternehmen:</w:t>
      </w:r>
    </w:p>
    <w:p>
      <w:pPr>
        <w:pStyle w:val="Normal"/>
        <w:suppressAutoHyphens w:val="false"/>
        <w:jc w:val="both"/>
        <w:rPr>
          <w:rFonts w:ascii="Arial" w:hAnsi="Arial" w:cs="Arial"/>
          <w:sz w:val="24"/>
          <w:szCs w:val="24"/>
          <w:lang w:eastAsia="de-DE"/>
        </w:rPr>
      </w:pPr>
      <w:r>
        <w:rPr>
          <w:rFonts w:cs="Arial" w:ascii="Arial" w:hAnsi="Arial"/>
          <w:sz w:val="24"/>
          <w:szCs w:val="24"/>
          <w:lang w:eastAsia="de-DE"/>
        </w:rPr>
      </w:r>
    </w:p>
    <w:p>
      <w:pPr>
        <w:pStyle w:val="Normal"/>
        <w:suppressAutoHyphens w:val="false"/>
        <w:jc w:val="both"/>
        <w:rPr>
          <w:rFonts w:ascii="Arial" w:hAnsi="Arial" w:cs="Arial"/>
          <w:sz w:val="24"/>
          <w:szCs w:val="24"/>
          <w:lang w:eastAsia="de-DE"/>
        </w:rPr>
      </w:pPr>
      <w:r>
        <w:rPr>
          <w:rFonts w:cs="Arial" w:ascii="Arial" w:hAnsi="Arial"/>
          <w:sz w:val="24"/>
          <w:szCs w:val="24"/>
          <w:lang w:eastAsia="de-DE"/>
        </w:rPr>
        <w:t>WI Energy GmbH, Auf dem Petrisberg 4, 54296 Trier</w:t>
      </w:r>
    </w:p>
    <w:p>
      <w:pPr>
        <w:pStyle w:val="Normal"/>
        <w:jc w:val="both"/>
        <w:rPr>
          <w:rFonts w:ascii="Arial" w:hAnsi="Arial" w:cs="Arial"/>
          <w:bCs/>
          <w:sz w:val="24"/>
          <w:szCs w:val="24"/>
        </w:rPr>
      </w:pPr>
      <w:r>
        <w:rPr>
          <w:rFonts w:cs="Arial" w:ascii="Arial" w:hAnsi="Arial"/>
          <w:bCs/>
          <w:sz w:val="24"/>
          <w:szCs w:val="24"/>
        </w:rPr>
      </w:r>
    </w:p>
    <w:p>
      <w:pPr>
        <w:pStyle w:val="Normal"/>
        <w:suppressAutoHyphens w:val="false"/>
        <w:jc w:val="both"/>
        <w:rPr>
          <w:rFonts w:ascii="Arial" w:hAnsi="Arial" w:cs="Arial"/>
          <w:sz w:val="24"/>
          <w:szCs w:val="24"/>
          <w:lang w:eastAsia="de-DE"/>
        </w:rPr>
      </w:pPr>
      <w:r>
        <w:rPr>
          <w:rFonts w:cs="Arial" w:ascii="Arial" w:hAnsi="Arial"/>
          <w:sz w:val="24"/>
          <w:szCs w:val="24"/>
          <w:lang w:eastAsia="de-DE"/>
        </w:rPr>
        <w:t>Der Gemeinderat Lieser beschloss, das Sponsoring der vorgenannten Firma zum Zweck der Anschaffung eines Toilettenwagens gem. § 94 Abs. 3 GemO anzunehmen.</w:t>
      </w:r>
    </w:p>
    <w:p>
      <w:pPr>
        <w:pStyle w:val="Normal"/>
        <w:jc w:val="both"/>
        <w:rPr>
          <w:rFonts w:ascii="Arial" w:hAnsi="Arial" w:cs="Arial"/>
          <w:bCs/>
          <w:sz w:val="24"/>
          <w:szCs w:val="24"/>
        </w:rPr>
      </w:pPr>
      <w:r>
        <w:rPr>
          <w:rFonts w:cs="Arial" w:ascii="Arial" w:hAnsi="Arial"/>
          <w:bCs/>
          <w:sz w:val="24"/>
          <w:szCs w:val="24"/>
        </w:rPr>
      </w:r>
    </w:p>
    <w:p>
      <w:pPr>
        <w:pStyle w:val="Normal"/>
        <w:jc w:val="both"/>
        <w:rPr>
          <w:rFonts w:ascii="Arial" w:hAnsi="Arial" w:cs="Arial"/>
          <w:b/>
          <w:sz w:val="24"/>
          <w:szCs w:val="24"/>
        </w:rPr>
      </w:pPr>
      <w:r>
        <w:rPr>
          <w:rFonts w:cs="Arial" w:ascii="Arial" w:hAnsi="Arial"/>
          <w:b/>
          <w:sz w:val="24"/>
          <w:szCs w:val="24"/>
        </w:rPr>
        <w:t>Beratung und Beschlussfassung über die Anschaffung von Tablets für die digitale Ratsarbeit</w:t>
      </w:r>
    </w:p>
    <w:p>
      <w:pPr>
        <w:pStyle w:val="Normal"/>
        <w:jc w:val="both"/>
        <w:rPr>
          <w:rFonts w:ascii="Arial" w:hAnsi="Arial" w:eastAsia="MS Gothic" w:cs="Arial"/>
          <w:sz w:val="24"/>
          <w:lang w:eastAsia="en-US"/>
        </w:rPr>
      </w:pPr>
      <w:r>
        <w:rPr>
          <w:rFonts w:eastAsia="MS Gothic" w:cs="Arial" w:ascii="Arial" w:hAnsi="Arial"/>
          <w:sz w:val="24"/>
        </w:rPr>
        <w:t xml:space="preserve">Im Zuge der Digitalisierung wurde seitens der Verwaltung ein Ratsinformationssystem beschafft, welches nach der Kommunalwahl 2024 in allen Ortsgemeinden eingeführt werden soll. </w:t>
      </w:r>
    </w:p>
    <w:p>
      <w:pPr>
        <w:pStyle w:val="Normal"/>
        <w:jc w:val="both"/>
        <w:rPr>
          <w:rFonts w:ascii="Arial" w:hAnsi="Arial" w:eastAsia="MS Gothic" w:cs="Arial"/>
          <w:sz w:val="24"/>
        </w:rPr>
      </w:pPr>
      <w:r>
        <w:rPr>
          <w:rFonts w:eastAsia="MS Gothic" w:cs="Arial" w:ascii="Arial" w:hAnsi="Arial"/>
          <w:sz w:val="24"/>
        </w:rPr>
        <w:t xml:space="preserve">Um die Unterlagen innerhalb der Sitzung auch digital abrufen zu können, soll jedem Ratsmitglied ein entsprechendes Endgerät zur Verfügung gestellt werden. Das Benutzen von privaten Endgeräten ist ebenfalls möglich. </w:t>
      </w:r>
    </w:p>
    <w:p>
      <w:pPr>
        <w:pStyle w:val="Normal"/>
        <w:jc w:val="both"/>
        <w:rPr>
          <w:rFonts w:ascii="Arial" w:hAnsi="Arial" w:eastAsia="MS Gothic" w:cs="Arial"/>
          <w:sz w:val="24"/>
        </w:rPr>
      </w:pPr>
      <w:r>
        <w:rPr>
          <w:rFonts w:eastAsia="MS Gothic" w:cs="Arial" w:ascii="Arial" w:hAnsi="Arial"/>
          <w:sz w:val="24"/>
        </w:rPr>
      </w:r>
    </w:p>
    <w:p>
      <w:pPr>
        <w:pStyle w:val="Normal"/>
        <w:jc w:val="both"/>
        <w:rPr>
          <w:rFonts w:ascii="Arial" w:hAnsi="Arial" w:eastAsia="MS Gothic" w:cs="Arial"/>
          <w:sz w:val="24"/>
        </w:rPr>
      </w:pPr>
      <w:r>
        <w:rPr>
          <w:rFonts w:eastAsia="MS Gothic" w:cs="Arial" w:ascii="Arial" w:hAnsi="Arial"/>
          <w:sz w:val="24"/>
        </w:rPr>
        <w:t>Die Kosten für ein Apple iPad belaufen sich derzeit auf ca. 370,00 € brutto (zzgl. 20,00 € netto Verwaltungslizenz, optional Schutzhülle 26,00 € netto).</w:t>
      </w:r>
    </w:p>
    <w:p>
      <w:pPr>
        <w:pStyle w:val="Normal"/>
        <w:jc w:val="both"/>
        <w:rPr>
          <w:rFonts w:ascii="Arial" w:hAnsi="Arial" w:eastAsia="MS Gothic" w:cs="Arial"/>
          <w:sz w:val="24"/>
        </w:rPr>
      </w:pPr>
      <w:r>
        <w:rPr>
          <w:rFonts w:eastAsia="MS Gothic" w:cs="Arial" w:ascii="Arial" w:hAnsi="Arial"/>
          <w:sz w:val="24"/>
        </w:rPr>
      </w:r>
    </w:p>
    <w:p>
      <w:pPr>
        <w:pStyle w:val="Normal"/>
        <w:jc w:val="both"/>
        <w:rPr>
          <w:rFonts w:ascii="Arial" w:hAnsi="Arial" w:eastAsia="MS Gothic" w:cs="Arial"/>
          <w:sz w:val="24"/>
        </w:rPr>
      </w:pPr>
      <w:r>
        <w:rPr>
          <w:rFonts w:eastAsia="MS Gothic" w:cs="Arial" w:ascii="Arial" w:hAnsi="Arial"/>
          <w:sz w:val="24"/>
        </w:rPr>
        <w:t>Der Gemeinderat beschloss, 16 Tablets mit Schutzhüllen für die digitale Ratsarbeit zu beschaffen. Die Verwaltung wird beauftragt, alle weiteren Schritte für die digitale Ratsarbeit einzuleiten. Die Haushaltsmittel werden überplanmäßig bereitgestellt.</w:t>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b/>
          <w:sz w:val="24"/>
          <w:szCs w:val="24"/>
        </w:rPr>
      </w:pPr>
      <w:r>
        <w:rPr>
          <w:rFonts w:cs="Arial" w:ascii="Arial" w:hAnsi="Arial"/>
          <w:b/>
          <w:sz w:val="24"/>
          <w:szCs w:val="24"/>
        </w:rPr>
        <w:t>Mitteilungen und Anfragen</w:t>
      </w:r>
    </w:p>
    <w:p>
      <w:pPr>
        <w:pStyle w:val="Normal"/>
        <w:jc w:val="both"/>
        <w:rPr>
          <w:rFonts w:ascii="Arial" w:hAnsi="Arial" w:cs="Arial"/>
          <w:b/>
          <w:sz w:val="24"/>
          <w:szCs w:val="24"/>
        </w:rPr>
      </w:pPr>
      <w:r>
        <w:rPr>
          <w:rFonts w:cs="Arial" w:ascii="Arial" w:hAnsi="Arial"/>
          <w:b/>
          <w:sz w:val="24"/>
          <w:szCs w:val="24"/>
        </w:rPr>
        <w:t>a) Antrag auf Prüfung verkehrsrechtlicher Maßnahmen</w:t>
      </w:r>
    </w:p>
    <w:p>
      <w:pPr>
        <w:pStyle w:val="Normal"/>
        <w:jc w:val="both"/>
        <w:rPr>
          <w:rFonts w:ascii="Arial" w:hAnsi="Arial" w:cs="Arial"/>
          <w:bCs/>
          <w:sz w:val="24"/>
          <w:szCs w:val="24"/>
        </w:rPr>
      </w:pPr>
      <w:r>
        <w:rPr>
          <w:rFonts w:cs="Arial" w:ascii="Arial" w:hAnsi="Arial"/>
          <w:bCs/>
          <w:sz w:val="24"/>
          <w:szCs w:val="24"/>
        </w:rPr>
        <w:t xml:space="preserve">Durch das neue Parkraumkonzept ist die Hochstraße freier befahrbar. Dies führt allerdings dazu, dass Fahrzeuge dort nunmehr oftmals mit überhöhter Geschwindigkeit fahren. Aus der Bevölkerung wurde ein Antrag gestellt, durch geeignete Maßnahmen die Geschwindigkeit zu reduzieren. </w:t>
      </w:r>
    </w:p>
    <w:p>
      <w:pPr>
        <w:pStyle w:val="Normal"/>
        <w:jc w:val="both"/>
        <w:rPr>
          <w:rFonts w:ascii="Arial" w:hAnsi="Arial" w:cs="Arial"/>
          <w:bCs/>
          <w:sz w:val="24"/>
          <w:szCs w:val="24"/>
        </w:rPr>
      </w:pPr>
      <w:r>
        <w:rPr>
          <w:rFonts w:cs="Arial" w:ascii="Arial" w:hAnsi="Arial"/>
          <w:bCs/>
          <w:sz w:val="24"/>
          <w:szCs w:val="24"/>
        </w:rPr>
      </w:r>
    </w:p>
    <w:p>
      <w:pPr>
        <w:pStyle w:val="Normal"/>
        <w:jc w:val="both"/>
        <w:rPr>
          <w:rFonts w:ascii="Arial" w:hAnsi="Arial" w:cs="Arial"/>
          <w:bCs/>
          <w:sz w:val="24"/>
          <w:szCs w:val="24"/>
        </w:rPr>
      </w:pPr>
      <w:r>
        <w:rPr>
          <w:rFonts w:cs="Arial" w:ascii="Arial" w:hAnsi="Arial"/>
          <w:bCs/>
          <w:sz w:val="24"/>
          <w:szCs w:val="24"/>
        </w:rPr>
        <w:t xml:space="preserve">Auch im Bereich des Bolzplatzes wird die Geschwindigkeit der Fahrzeuge als zu hoch eingeschätzt. Des Weiteren bestehen durch das neue Parkkonzept mittlerweile Probleme in der Weingartenstraße durch parkende Autos, die die Fahrbahn zu sehr verengen. </w:t>
      </w:r>
    </w:p>
    <w:p>
      <w:pPr>
        <w:pStyle w:val="Normal"/>
        <w:jc w:val="both"/>
        <w:rPr>
          <w:rFonts w:ascii="Arial" w:hAnsi="Arial" w:cs="Arial"/>
          <w:bCs/>
          <w:sz w:val="24"/>
          <w:szCs w:val="24"/>
        </w:rPr>
      </w:pPr>
      <w:r>
        <w:rPr>
          <w:rFonts w:cs="Arial" w:ascii="Arial" w:hAnsi="Arial"/>
          <w:bCs/>
          <w:sz w:val="24"/>
          <w:szCs w:val="24"/>
        </w:rPr>
      </w:r>
    </w:p>
    <w:p>
      <w:pPr>
        <w:pStyle w:val="Normal"/>
        <w:jc w:val="both"/>
        <w:rPr>
          <w:rFonts w:ascii="Arial" w:hAnsi="Arial" w:cs="Arial"/>
          <w:bCs/>
          <w:sz w:val="24"/>
          <w:szCs w:val="24"/>
        </w:rPr>
      </w:pPr>
      <w:r>
        <w:rPr>
          <w:rFonts w:cs="Arial" w:ascii="Arial" w:hAnsi="Arial"/>
          <w:bCs/>
          <w:sz w:val="24"/>
          <w:szCs w:val="24"/>
        </w:rPr>
        <w:t xml:space="preserve">Problematisch ist, dass teilweise noch Markierungen auf den Fahrbahnen fehlen, welche aber auf Grund der noch ausstehenden Baumaßnahmen (Glasfaser) derzeit nicht durchgeführt werden können. Der Rat war einstimmig der Auffassung, ein neues Überwachungsgerät anzuschaffen, um zunächst Tempomessungen in den kritischen Bereichen durchzuführen. </w:t>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t xml:space="preserve">Weitere Beratungen sollen im Ausschuss für Straßen, Wege und Verkehr durchgeführt werden. </w:t>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b/>
          <w:sz w:val="24"/>
          <w:szCs w:val="24"/>
        </w:rPr>
      </w:pPr>
      <w:r>
        <w:rPr>
          <w:rFonts w:cs="Arial" w:ascii="Arial" w:hAnsi="Arial"/>
          <w:b/>
          <w:sz w:val="24"/>
          <w:szCs w:val="24"/>
        </w:rPr>
        <w:t>b) Glasfaserausbau in der Ortsgemeinde</w:t>
      </w:r>
    </w:p>
    <w:p>
      <w:pPr>
        <w:pStyle w:val="Normal"/>
        <w:jc w:val="both"/>
        <w:rPr>
          <w:rFonts w:ascii="Arial" w:hAnsi="Arial" w:cs="Arial"/>
          <w:sz w:val="24"/>
          <w:szCs w:val="24"/>
        </w:rPr>
      </w:pPr>
      <w:r>
        <w:rPr>
          <w:rFonts w:cs="Arial" w:ascii="Arial" w:hAnsi="Arial"/>
          <w:sz w:val="24"/>
          <w:szCs w:val="24"/>
        </w:rPr>
        <w:t>Derzeit ruhen die Arbeiten. Der Vorsitzende wird hierzu Gespräche führen.</w:t>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b/>
          <w:sz w:val="24"/>
          <w:szCs w:val="24"/>
        </w:rPr>
      </w:pPr>
      <w:r>
        <w:rPr>
          <w:rFonts w:cs="Arial" w:ascii="Arial" w:hAnsi="Arial"/>
          <w:b/>
          <w:sz w:val="24"/>
          <w:szCs w:val="24"/>
        </w:rPr>
        <w:t>c) KULADIK Netzwerktreffen</w:t>
      </w:r>
    </w:p>
    <w:p>
      <w:pPr>
        <w:pStyle w:val="Normal"/>
        <w:jc w:val="both"/>
        <w:rPr>
          <w:rFonts w:ascii="Arial" w:hAnsi="Arial" w:cs="Arial"/>
          <w:sz w:val="24"/>
          <w:szCs w:val="24"/>
        </w:rPr>
      </w:pPr>
      <w:r>
        <w:rPr>
          <w:rFonts w:cs="Arial" w:ascii="Arial" w:hAnsi="Arial"/>
          <w:sz w:val="24"/>
          <w:szCs w:val="24"/>
        </w:rPr>
        <w:t xml:space="preserve">Es liegt eine Einladung zu einem Workshop zur digitalen Erfassung von Wegekreuzen, etc. vor. Dieser findet am 03.09. in Malberg statt. Die Einladung soll an den Förderverein Paulskirche Lieser e.V. weitergeleitet werden. </w:t>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b/>
          <w:sz w:val="24"/>
          <w:szCs w:val="24"/>
        </w:rPr>
      </w:pPr>
      <w:r>
        <w:rPr>
          <w:rFonts w:cs="Arial" w:ascii="Arial" w:hAnsi="Arial"/>
          <w:b/>
          <w:sz w:val="24"/>
          <w:szCs w:val="24"/>
        </w:rPr>
        <w:t>d) Friedhof im Ort</w:t>
      </w:r>
    </w:p>
    <w:p>
      <w:pPr>
        <w:pStyle w:val="Normal"/>
        <w:jc w:val="both"/>
        <w:rPr>
          <w:rFonts w:ascii="Arial" w:hAnsi="Arial" w:cs="Arial"/>
          <w:sz w:val="24"/>
          <w:szCs w:val="24"/>
        </w:rPr>
      </w:pPr>
      <w:r>
        <w:rPr>
          <w:rFonts w:cs="Arial" w:ascii="Arial" w:hAnsi="Arial"/>
          <w:sz w:val="24"/>
          <w:szCs w:val="24"/>
        </w:rPr>
        <w:t xml:space="preserve">Auf Nachfrage wurde bestätigt, dass es für den o. g. Friedhof bald neue Bestattungsmöglichkeiten geben soll. Beratungen hierzu sollen in einer der nächsten Sitzungen erfolgen. </w:t>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b/>
          <w:sz w:val="24"/>
          <w:szCs w:val="24"/>
        </w:rPr>
      </w:pPr>
      <w:r>
        <w:rPr>
          <w:rFonts w:cs="Arial" w:ascii="Arial" w:hAnsi="Arial"/>
          <w:b/>
          <w:sz w:val="24"/>
          <w:szCs w:val="24"/>
        </w:rPr>
        <w:t>e) Zustand Wiesgraben</w:t>
      </w:r>
    </w:p>
    <w:p>
      <w:pPr>
        <w:pStyle w:val="Normal"/>
        <w:jc w:val="both"/>
        <w:rPr>
          <w:rFonts w:ascii="Arial" w:hAnsi="Arial" w:cs="Arial"/>
          <w:sz w:val="24"/>
          <w:szCs w:val="24"/>
        </w:rPr>
      </w:pPr>
      <w:r>
        <w:rPr>
          <w:rFonts w:cs="Arial" w:ascii="Arial" w:hAnsi="Arial"/>
          <w:sz w:val="24"/>
          <w:szCs w:val="24"/>
        </w:rPr>
        <w:t xml:space="preserve">Der Zustand des Wiesgrabens wurde bemängelt. Der Vorsitzende erläuterte, dass die Ortsgemeinde hierfür zuständig sei und eine Bearbeitung erfolgen würde. Es bestand Einigkeit, im oberen Teil des Grabens nur den Unrat zu entfernen. </w:t>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b/>
          <w:sz w:val="24"/>
          <w:szCs w:val="24"/>
        </w:rPr>
      </w:pPr>
      <w:r>
        <w:rPr>
          <w:rFonts w:cs="Arial" w:ascii="Arial" w:hAnsi="Arial"/>
          <w:b/>
          <w:sz w:val="24"/>
          <w:szCs w:val="24"/>
        </w:rPr>
        <w:t>f) Gullideckel in der Ortsgemeinde</w:t>
      </w:r>
    </w:p>
    <w:p>
      <w:pPr>
        <w:pStyle w:val="Normal"/>
        <w:jc w:val="both"/>
        <w:rPr>
          <w:rFonts w:ascii="Arial" w:hAnsi="Arial" w:cs="Arial"/>
          <w:sz w:val="24"/>
          <w:szCs w:val="24"/>
        </w:rPr>
      </w:pPr>
      <w:r>
        <w:rPr>
          <w:rFonts w:cs="Arial" w:ascii="Arial" w:hAnsi="Arial"/>
          <w:sz w:val="24"/>
          <w:szCs w:val="24"/>
        </w:rPr>
        <w:t xml:space="preserve">Teilweise fehlen in den Gullideckeln die Auffangkörbe. Der Vorsitzende sagte zu, sich zu kümmern. </w:t>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rPr>
          <w:rFonts w:ascii="Arial" w:hAnsi="Arial" w:cs="Arial"/>
          <w:sz w:val="24"/>
          <w:szCs w:val="24"/>
        </w:rPr>
      </w:pPr>
      <w:r>
        <w:rPr>
          <w:rFonts w:cs="Arial" w:ascii="Arial" w:hAnsi="Arial"/>
          <w:sz w:val="24"/>
          <w:szCs w:val="24"/>
        </w:rPr>
      </w:r>
      <w:bookmarkStart w:id="0" w:name="_GoBack"/>
      <w:bookmarkStart w:id="1" w:name="_GoBack"/>
      <w:bookmarkEnd w:id="1"/>
    </w:p>
    <w:p>
      <w:pPr>
        <w:pStyle w:val="Normal"/>
        <w:rPr>
          <w:rFonts w:ascii="Arial" w:hAnsi="Arial" w:cs="Arial"/>
          <w:sz w:val="24"/>
          <w:szCs w:val="24"/>
        </w:rPr>
      </w:pPr>
      <w:r>
        <w:rPr>
          <w:rFonts w:cs="Arial" w:ascii="Arial" w:hAnsi="Arial"/>
          <w:sz w:val="24"/>
          <w:szCs w:val="24"/>
        </w:rPr>
      </w:r>
    </w:p>
    <w:p>
      <w:pPr>
        <w:sectPr>
          <w:headerReference w:type="even" r:id="rId2"/>
          <w:headerReference w:type="default" r:id="rId3"/>
          <w:headerReference w:type="first" r:id="rId4"/>
          <w:type w:val="nextPage"/>
          <w:pgSz w:w="11906" w:h="16838"/>
          <w:pgMar w:left="1418" w:right="1418" w:gutter="0" w:header="851" w:top="1429" w:footer="0" w:bottom="1134"/>
          <w:pgNumType w:fmt="decimal"/>
          <w:formProt w:val="false"/>
          <w:textDirection w:val="lrTb"/>
          <w:docGrid w:type="default" w:linePitch="272" w:charSpace="49152"/>
        </w:sectPr>
        <w:pStyle w:val="Normal"/>
        <w:rPr>
          <w:rFonts w:ascii="Arial" w:hAnsi="Arial" w:cs="Arial"/>
          <w:sz w:val="24"/>
          <w:szCs w:val="24"/>
        </w:rPr>
      </w:pPr>
      <w:r>
        <w:rPr>
          <w:rFonts w:cs="Arial" w:ascii="Arial" w:hAnsi="Arial"/>
          <w:sz w:val="24"/>
          <w:szCs w:val="24"/>
        </w:rPr>
      </w:r>
    </w:p>
    <w:p>
      <w:pPr>
        <w:pStyle w:val="Normal"/>
        <w:rPr>
          <w:rFonts w:ascii="Arial" w:hAnsi="Arial" w:cs="Arial"/>
          <w:b/>
          <w:sz w:val="24"/>
          <w:szCs w:val="24"/>
          <w:u w:val="single"/>
        </w:rPr>
      </w:pPr>
      <w:r>
        <w:rPr>
          <w:rFonts w:cs="Arial" w:ascii="Arial" w:hAnsi="Arial"/>
          <w:b/>
          <w:sz w:val="24"/>
          <w:szCs w:val="24"/>
          <w:u w:val="single"/>
        </w:rPr>
        <w:t>Anlage 2 zu TOP 2:</w:t>
      </w:r>
    </w:p>
    <w:p>
      <w:pPr>
        <w:pStyle w:val="Normal"/>
        <w:suppressAutoHyphens w:val="false"/>
        <w:ind w:right="113"/>
        <w:jc w:val="both"/>
        <w:rPr>
          <w:rFonts w:ascii="Calibri" w:hAnsi="Calibri"/>
          <w:b/>
          <w:smallCaps/>
          <w:sz w:val="56"/>
          <w:szCs w:val="56"/>
          <w:lang w:eastAsia="de-DE"/>
        </w:rPr>
      </w:pPr>
      <w:r>
        <w:rPr>
          <w:rFonts w:ascii="Calibri" w:hAnsi="Calibri"/>
          <w:b/>
          <w:smallCaps/>
          <w:sz w:val="56"/>
          <w:szCs w:val="56"/>
          <w:lang w:eastAsia="de-DE"/>
        </w:rPr>
        <w:t>Bebauungsplan der Ortsgemeinde Lieser</w:t>
      </w:r>
    </w:p>
    <w:p>
      <w:pPr>
        <w:pStyle w:val="Normal"/>
        <w:suppressAutoHyphens w:val="false"/>
        <w:spacing w:before="0" w:after="240"/>
        <w:ind w:right="113"/>
        <w:jc w:val="both"/>
        <w:rPr>
          <w:rFonts w:ascii="Calibri" w:hAnsi="Calibri"/>
          <w:b/>
          <w:smallCaps/>
          <w:sz w:val="28"/>
          <w:szCs w:val="30"/>
          <w:lang w:eastAsia="de-DE"/>
        </w:rPr>
      </w:pPr>
      <w:r>
        <w:rPr>
          <w:rFonts w:ascii="Calibri" w:hAnsi="Calibri"/>
          <w:b/>
          <w:smallCaps/>
          <w:sz w:val="28"/>
          <w:szCs w:val="30"/>
          <w:lang w:eastAsia="de-DE"/>
        </w:rPr>
        <w:t xml:space="preserve">für das gebiet „Hinter Goldschmitsgraben“ </w:t>
      </w:r>
    </w:p>
    <w:p>
      <w:pPr>
        <w:pStyle w:val="Normal"/>
        <w:suppressAutoHyphens w:val="false"/>
        <w:spacing w:before="0" w:after="240"/>
        <w:ind w:right="113"/>
        <w:jc w:val="both"/>
        <w:rPr>
          <w:rFonts w:ascii="Calibri" w:hAnsi="Calibri"/>
          <w:sz w:val="24"/>
          <w:lang w:eastAsia="de-DE"/>
        </w:rPr>
      </w:pPr>
      <w:r>
        <w:rPr>
          <w:rFonts w:ascii="Calibri" w:hAnsi="Calibri"/>
          <w:sz w:val="24"/>
          <w:lang w:eastAsia="de-DE"/>
        </w:rPr>
        <w:t xml:space="preserve">Mit Schreiben vom 27.10.2022 wurden die betroffenen Behörden und sonstigen Träger öffentlicher Belange gemäß § 4 Abs. 1 BauGB und die Nachbargemeinden gemäß § 2 Abs. 2 BauGB am Verfahren beteiligt und um Stellungnahme bis zum 05.12.2022 gebeten. </w:t>
      </w:r>
    </w:p>
    <w:p>
      <w:pPr>
        <w:pStyle w:val="Normal"/>
        <w:suppressAutoHyphens w:val="false"/>
        <w:spacing w:before="0" w:after="240"/>
        <w:ind w:right="113"/>
        <w:jc w:val="both"/>
        <w:rPr>
          <w:rFonts w:ascii="Calibri" w:hAnsi="Calibri"/>
          <w:sz w:val="22"/>
          <w:lang w:eastAsia="de-DE"/>
        </w:rPr>
      </w:pPr>
      <w:r>
        <w:rPr>
          <w:rFonts w:ascii="Calibri" w:hAnsi="Calibri"/>
          <w:b/>
          <w:sz w:val="24"/>
          <w:lang w:eastAsia="de-DE"/>
        </w:rPr>
        <w:t>Folgende Stellungnahmen wurden von den beteiligten Behörden, Träger öffentlicher Belange sowie von benachbarten Gemeinden nach § 4 Abs. 1 BauGB und § 2 Abs. 1 BauGB abgegeben:</w:t>
      </w:r>
    </w:p>
    <w:sdt>
      <w:sdtPr>
        <w:docPartObj>
          <w:docPartGallery w:val="Table of Contents"/>
          <w:docPartUnique w:val="true"/>
        </w:docPartObj>
      </w:sdtPr>
      <w:sdtContent>
        <w:p>
          <w:pPr>
            <w:pStyle w:val="Normal"/>
            <w:tabs>
              <w:tab w:val="clear" w:pos="709"/>
              <w:tab w:val="left" w:pos="440" w:leader="none"/>
              <w:tab w:val="right" w:pos="14562" w:leader="dot"/>
            </w:tabs>
            <w:suppressAutoHyphens w:val="false"/>
            <w:ind w:hanging="567" w:left="567" w:right="113"/>
            <w:rPr>
              <w:rFonts w:ascii="Calibri" w:hAnsi="Calibri"/>
              <w:sz w:val="22"/>
              <w:szCs w:val="22"/>
              <w:lang w:eastAsia="de-DE"/>
            </w:rPr>
          </w:pPr>
          <w:r>
            <w:fldChar w:fldCharType="begin"/>
          </w:r>
          <w:r>
            <w:rPr>
              <w:rStyle w:val="Verzeichnissprung"/>
              <w:sz w:val="24"/>
              <w:i/>
              <w:u w:val="single"/>
              <w:b/>
              <w:szCs w:val="24"/>
              <w:iCs/>
              <w:bCs/>
              <w:rFonts w:ascii="Calibri" w:hAnsi="Calibri"/>
              <w:color w:val="0000FF"/>
              <w:lang w:eastAsia="de-DE"/>
            </w:rPr>
            <w:instrText xml:space="preserve"> TOC \z \o "1-1" \u \h</w:instrText>
          </w:r>
          <w:r>
            <w:rPr>
              <w:rStyle w:val="Verzeichnissprung"/>
              <w:sz w:val="24"/>
              <w:i/>
              <w:u w:val="single"/>
              <w:b/>
              <w:szCs w:val="24"/>
              <w:iCs/>
              <w:bCs/>
              <w:rFonts w:ascii="Calibri" w:hAnsi="Calibri"/>
              <w:color w:val="0000FF"/>
              <w:lang w:eastAsia="de-DE"/>
            </w:rPr>
            <w:fldChar w:fldCharType="separate"/>
          </w:r>
          <w:r>
            <w:fldChar w:fldCharType="begin"/>
          </w:r>
          <w:r>
            <w:rPr>
              <w:rStyle w:val="Verzeichnissprung"/>
              <w:sz w:val="24"/>
              <w:i/>
              <w:u w:val="single"/>
              <w:b/>
              <w:szCs w:val="24"/>
              <w:iCs/>
              <w:bCs/>
              <w:rFonts w:ascii="Calibri" w:hAnsi="Calibri"/>
              <w:color w:val="0000FF"/>
              <w:lang w:eastAsia="de-DE"/>
            </w:rPr>
            <w:instrText xml:space="preserve"> HYPERLINK "../../../v.juengling/AppData/Roaming/regisafe/Storage/59/2024-06-26_Abw%C3%A4gungstabelle.docx" \l "_Toc122069573"</w:instrText>
          </w:r>
          <w:r>
            <w:rPr>
              <w:rStyle w:val="Verzeichnissprung"/>
              <w:sz w:val="24"/>
              <w:i/>
              <w:u w:val="single"/>
              <w:b/>
              <w:szCs w:val="24"/>
              <w:iCs/>
              <w:bCs/>
              <w:rFonts w:ascii="Calibri" w:hAnsi="Calibri"/>
              <w:color w:val="0000FF"/>
              <w:lang w:eastAsia="de-DE"/>
            </w:rPr>
            <w:fldChar w:fldCharType="separate"/>
          </w:r>
          <w:r>
            <w:rPr>
              <w:rStyle w:val="Verzeichnissprung"/>
              <w:rFonts w:ascii="Calibri" w:hAnsi="Calibri"/>
              <w:b/>
              <w:bCs/>
              <w:i/>
              <w:iCs/>
              <w:color w:val="0000FF"/>
              <w:sz w:val="24"/>
              <w:szCs w:val="24"/>
              <w:u w:val="single"/>
              <w:lang w:eastAsia="de-DE"/>
            </w:rPr>
            <w:t>1</w:t>
          </w:r>
          <w:r>
            <w:rPr>
              <w:rStyle w:val="Verzeichnissprung"/>
              <w:sz w:val="24"/>
              <w:i/>
              <w:u w:val="single"/>
              <w:b/>
              <w:szCs w:val="24"/>
              <w:iCs/>
              <w:bCs/>
              <w:rFonts w:ascii="Calibri" w:hAnsi="Calibri"/>
              <w:color w:val="0000FF"/>
              <w:lang w:eastAsia="de-DE"/>
            </w:rPr>
            <w:fldChar w:fldCharType="end"/>
          </w:r>
          <w:r>
            <w:rPr>
              <w:rStyle w:val="Verzeichnissprung"/>
              <w:rFonts w:ascii="Calibri" w:hAnsi="Calibri"/>
              <w:color w:val="0000FF"/>
              <w:sz w:val="24"/>
              <w:szCs w:val="22"/>
              <w:u w:val="single"/>
              <w:lang w:eastAsia="de-DE"/>
            </w:rPr>
            <w:tab/>
          </w:r>
          <w:r>
            <w:rPr>
              <w:rStyle w:val="Verzeichnissprung"/>
              <w:rFonts w:ascii="Calibri" w:hAnsi="Calibri"/>
              <w:b/>
              <w:bCs/>
              <w:i/>
              <w:iCs/>
              <w:color w:val="0000FF"/>
              <w:sz w:val="24"/>
              <w:szCs w:val="24"/>
              <w:u w:val="single"/>
              <w:lang w:eastAsia="de-DE"/>
            </w:rPr>
            <w:t>Amprion GmbH</w:t>
          </w:r>
          <w:r>
            <w:rPr>
              <w:rStyle w:val="Verzeichnissprung"/>
              <w:rFonts w:ascii="Calibri" w:hAnsi="Calibri"/>
              <w:b/>
              <w:bCs/>
              <w:i/>
              <w:iCs/>
              <w:vanish w:val="false"/>
              <w:color w:val="0000FF"/>
              <w:sz w:val="24"/>
              <w:szCs w:val="24"/>
              <w:u w:val="single"/>
              <w:lang w:eastAsia="de-DE"/>
            </w:rPr>
            <w:tab/>
            <w:t>3</w:t>
          </w:r>
        </w:p>
        <w:p>
          <w:pPr>
            <w:pStyle w:val="Normal"/>
            <w:tabs>
              <w:tab w:val="clear" w:pos="709"/>
              <w:tab w:val="left" w:pos="440" w:leader="none"/>
              <w:tab w:val="right" w:pos="14562" w:leader="dot"/>
            </w:tabs>
            <w:suppressAutoHyphens w:val="false"/>
            <w:ind w:hanging="567" w:left="567" w:right="113"/>
            <w:rPr>
              <w:rFonts w:ascii="Calibri" w:hAnsi="Calibri"/>
              <w:sz w:val="22"/>
              <w:szCs w:val="22"/>
              <w:lang w:eastAsia="de-DE"/>
            </w:rPr>
          </w:pPr>
          <w:r>
            <w:fldChar w:fldCharType="begin"/>
          </w:r>
          <w:r>
            <w:rPr>
              <w:rStyle w:val="Verzeichnissprung"/>
              <w:sz w:val="24"/>
              <w:i/>
              <w:u w:val="single"/>
              <w:b/>
              <w:szCs w:val="24"/>
              <w:iCs/>
              <w:bCs/>
              <w:rFonts w:ascii="Calibri" w:hAnsi="Calibri"/>
              <w:color w:val="0000FF"/>
              <w:lang w:eastAsia="de-DE"/>
            </w:rPr>
            <w:instrText xml:space="preserve"> HYPERLINK "../../../v.juengling/AppData/Roaming/regisafe/Storage/59/2024-06-26_Abw%C3%A4gungstabelle.docx" \l "_Toc122069574"</w:instrText>
          </w:r>
          <w:r>
            <w:rPr>
              <w:rStyle w:val="Verzeichnissprung"/>
              <w:sz w:val="24"/>
              <w:i/>
              <w:u w:val="single"/>
              <w:b/>
              <w:szCs w:val="24"/>
              <w:iCs/>
              <w:bCs/>
              <w:rFonts w:ascii="Calibri" w:hAnsi="Calibri"/>
              <w:color w:val="0000FF"/>
              <w:lang w:eastAsia="de-DE"/>
            </w:rPr>
            <w:fldChar w:fldCharType="separate"/>
          </w:r>
          <w:r>
            <w:rPr>
              <w:rStyle w:val="Verzeichnissprung"/>
              <w:rFonts w:ascii="Calibri" w:hAnsi="Calibri"/>
              <w:b/>
              <w:bCs/>
              <w:i/>
              <w:iCs/>
              <w:color w:val="0000FF"/>
              <w:sz w:val="24"/>
              <w:szCs w:val="24"/>
              <w:u w:val="single"/>
              <w:lang w:eastAsia="de-DE"/>
            </w:rPr>
            <w:t>5</w:t>
          </w:r>
          <w:r>
            <w:rPr>
              <w:rStyle w:val="Verzeichnissprung"/>
              <w:sz w:val="24"/>
              <w:i/>
              <w:u w:val="single"/>
              <w:b/>
              <w:szCs w:val="24"/>
              <w:iCs/>
              <w:bCs/>
              <w:rFonts w:ascii="Calibri" w:hAnsi="Calibri"/>
              <w:color w:val="0000FF"/>
              <w:lang w:eastAsia="de-DE"/>
            </w:rPr>
            <w:fldChar w:fldCharType="end"/>
          </w:r>
          <w:r>
            <w:rPr>
              <w:rStyle w:val="Verzeichnissprung"/>
              <w:rFonts w:ascii="Calibri" w:hAnsi="Calibri"/>
              <w:color w:val="0000FF"/>
              <w:sz w:val="24"/>
              <w:szCs w:val="22"/>
              <w:u w:val="single"/>
              <w:lang w:eastAsia="de-DE"/>
            </w:rPr>
            <w:tab/>
          </w:r>
          <w:r>
            <w:rPr>
              <w:rStyle w:val="Verzeichnissprung"/>
              <w:rFonts w:ascii="Calibri" w:hAnsi="Calibri"/>
              <w:b/>
              <w:bCs/>
              <w:i/>
              <w:iCs/>
              <w:color w:val="0000FF"/>
              <w:sz w:val="24"/>
              <w:szCs w:val="24"/>
              <w:u w:val="single"/>
              <w:lang w:eastAsia="de-DE"/>
            </w:rPr>
            <w:t>Bundesamt für Infrastruktur, Umweltschutz und Dienstleistungen der Bundeswehr</w:t>
          </w:r>
          <w:r>
            <w:rPr>
              <w:rStyle w:val="Verzeichnissprung"/>
              <w:rFonts w:ascii="Calibri" w:hAnsi="Calibri"/>
              <w:b/>
              <w:bCs/>
              <w:i/>
              <w:iCs/>
              <w:vanish w:val="false"/>
              <w:color w:val="0000FF"/>
              <w:sz w:val="24"/>
              <w:szCs w:val="24"/>
              <w:u w:val="single"/>
              <w:lang w:eastAsia="de-DE"/>
            </w:rPr>
            <w:tab/>
            <w:t>3</w:t>
          </w:r>
        </w:p>
        <w:p>
          <w:pPr>
            <w:pStyle w:val="Normal"/>
            <w:tabs>
              <w:tab w:val="clear" w:pos="709"/>
              <w:tab w:val="left" w:pos="440" w:leader="none"/>
              <w:tab w:val="right" w:pos="14562" w:leader="dot"/>
            </w:tabs>
            <w:suppressAutoHyphens w:val="false"/>
            <w:ind w:hanging="567" w:left="567" w:right="113"/>
            <w:rPr>
              <w:rFonts w:ascii="Calibri" w:hAnsi="Calibri"/>
              <w:sz w:val="22"/>
              <w:szCs w:val="22"/>
              <w:lang w:eastAsia="de-DE"/>
            </w:rPr>
          </w:pPr>
          <w:r>
            <w:fldChar w:fldCharType="begin"/>
          </w:r>
          <w:r>
            <w:rPr>
              <w:rStyle w:val="Verzeichnissprung"/>
              <w:sz w:val="24"/>
              <w:i/>
              <w:u w:val="single"/>
              <w:b/>
              <w:szCs w:val="24"/>
              <w:iCs/>
              <w:bCs/>
              <w:rFonts w:ascii="Calibri" w:hAnsi="Calibri"/>
              <w:color w:val="0000FF"/>
              <w:lang w:eastAsia="de-DE"/>
            </w:rPr>
            <w:instrText xml:space="preserve"> HYPERLINK "../../../v.juengling/AppData/Roaming/regisafe/Storage/59/2024-06-26_Abw%C3%A4gungstabelle.docx" \l "_Toc122069575"</w:instrText>
          </w:r>
          <w:r>
            <w:rPr>
              <w:rStyle w:val="Verzeichnissprung"/>
              <w:sz w:val="24"/>
              <w:i/>
              <w:u w:val="single"/>
              <w:b/>
              <w:szCs w:val="24"/>
              <w:iCs/>
              <w:bCs/>
              <w:rFonts w:ascii="Calibri" w:hAnsi="Calibri"/>
              <w:color w:val="0000FF"/>
              <w:lang w:eastAsia="de-DE"/>
            </w:rPr>
            <w:fldChar w:fldCharType="separate"/>
          </w:r>
          <w:r>
            <w:rPr>
              <w:rStyle w:val="Verzeichnissprung"/>
              <w:rFonts w:ascii="Calibri" w:hAnsi="Calibri"/>
              <w:b/>
              <w:bCs/>
              <w:i/>
              <w:iCs/>
              <w:color w:val="0000FF"/>
              <w:sz w:val="24"/>
              <w:szCs w:val="24"/>
              <w:u w:val="single"/>
              <w:lang w:eastAsia="de-DE"/>
            </w:rPr>
            <w:t>7</w:t>
          </w:r>
          <w:r>
            <w:rPr>
              <w:rStyle w:val="Verzeichnissprung"/>
              <w:sz w:val="24"/>
              <w:i/>
              <w:u w:val="single"/>
              <w:b/>
              <w:szCs w:val="24"/>
              <w:iCs/>
              <w:bCs/>
              <w:rFonts w:ascii="Calibri" w:hAnsi="Calibri"/>
              <w:color w:val="0000FF"/>
              <w:lang w:eastAsia="de-DE"/>
            </w:rPr>
            <w:fldChar w:fldCharType="end"/>
          </w:r>
          <w:r>
            <w:rPr>
              <w:rStyle w:val="Verzeichnissprung"/>
              <w:rFonts w:ascii="Calibri" w:hAnsi="Calibri"/>
              <w:color w:val="0000FF"/>
              <w:sz w:val="24"/>
              <w:szCs w:val="22"/>
              <w:u w:val="single"/>
              <w:lang w:eastAsia="de-DE"/>
            </w:rPr>
            <w:tab/>
          </w:r>
          <w:r>
            <w:rPr>
              <w:rStyle w:val="Verzeichnissprung"/>
              <w:rFonts w:ascii="Calibri" w:hAnsi="Calibri"/>
              <w:b/>
              <w:bCs/>
              <w:i/>
              <w:iCs/>
              <w:color w:val="0000FF"/>
              <w:sz w:val="24"/>
              <w:szCs w:val="24"/>
              <w:u w:val="single"/>
              <w:lang w:eastAsia="de-DE"/>
            </w:rPr>
            <w:t>Bundesaufsichtsamt für Flugsicherung</w:t>
          </w:r>
          <w:r>
            <w:rPr>
              <w:rStyle w:val="Verzeichnissprung"/>
              <w:rFonts w:ascii="Calibri" w:hAnsi="Calibri"/>
              <w:b/>
              <w:bCs/>
              <w:i/>
              <w:iCs/>
              <w:vanish w:val="false"/>
              <w:color w:val="0000FF"/>
              <w:sz w:val="24"/>
              <w:szCs w:val="24"/>
              <w:u w:val="single"/>
              <w:lang w:eastAsia="de-DE"/>
            </w:rPr>
            <w:tab/>
            <w:t>3</w:t>
          </w:r>
        </w:p>
        <w:p>
          <w:pPr>
            <w:pStyle w:val="Normal"/>
            <w:tabs>
              <w:tab w:val="clear" w:pos="709"/>
              <w:tab w:val="left" w:pos="440" w:leader="none"/>
              <w:tab w:val="right" w:pos="14562" w:leader="dot"/>
            </w:tabs>
            <w:suppressAutoHyphens w:val="false"/>
            <w:ind w:hanging="567" w:left="567" w:right="113"/>
            <w:rPr>
              <w:rFonts w:ascii="Calibri" w:hAnsi="Calibri"/>
              <w:sz w:val="22"/>
              <w:szCs w:val="22"/>
              <w:lang w:eastAsia="de-DE"/>
            </w:rPr>
          </w:pPr>
          <w:r>
            <w:fldChar w:fldCharType="begin"/>
          </w:r>
          <w:r>
            <w:rPr>
              <w:rStyle w:val="Verzeichnissprung"/>
              <w:sz w:val="24"/>
              <w:i/>
              <w:u w:val="single"/>
              <w:b/>
              <w:szCs w:val="24"/>
              <w:iCs/>
              <w:bCs/>
              <w:rFonts w:ascii="Calibri" w:hAnsi="Calibri"/>
              <w:color w:val="0000FF"/>
              <w:lang w:eastAsia="de-DE"/>
            </w:rPr>
            <w:instrText xml:space="preserve"> HYPERLINK "../../../v.juengling/AppData/Roaming/regisafe/Storage/59/2024-06-26_Abw%C3%A4gungstabelle.docx" \l "_Toc122069576"</w:instrText>
          </w:r>
          <w:r>
            <w:rPr>
              <w:rStyle w:val="Verzeichnissprung"/>
              <w:sz w:val="24"/>
              <w:i/>
              <w:u w:val="single"/>
              <w:b/>
              <w:szCs w:val="24"/>
              <w:iCs/>
              <w:bCs/>
              <w:rFonts w:ascii="Calibri" w:hAnsi="Calibri"/>
              <w:color w:val="0000FF"/>
              <w:lang w:eastAsia="de-DE"/>
            </w:rPr>
            <w:fldChar w:fldCharType="separate"/>
          </w:r>
          <w:r>
            <w:rPr>
              <w:rStyle w:val="Verzeichnissprung"/>
              <w:rFonts w:ascii="Calibri" w:hAnsi="Calibri"/>
              <w:b/>
              <w:bCs/>
              <w:i/>
              <w:iCs/>
              <w:color w:val="0000FF"/>
              <w:sz w:val="24"/>
              <w:szCs w:val="24"/>
              <w:u w:val="single"/>
              <w:lang w:eastAsia="de-DE"/>
            </w:rPr>
            <w:t>8</w:t>
          </w:r>
          <w:r>
            <w:rPr>
              <w:rStyle w:val="Verzeichnissprung"/>
              <w:sz w:val="24"/>
              <w:i/>
              <w:u w:val="single"/>
              <w:b/>
              <w:szCs w:val="24"/>
              <w:iCs/>
              <w:bCs/>
              <w:rFonts w:ascii="Calibri" w:hAnsi="Calibri"/>
              <w:color w:val="0000FF"/>
              <w:lang w:eastAsia="de-DE"/>
            </w:rPr>
            <w:fldChar w:fldCharType="end"/>
          </w:r>
          <w:r>
            <w:rPr>
              <w:rStyle w:val="Verzeichnissprung"/>
              <w:rFonts w:ascii="Calibri" w:hAnsi="Calibri"/>
              <w:color w:val="0000FF"/>
              <w:sz w:val="24"/>
              <w:szCs w:val="22"/>
              <w:u w:val="single"/>
              <w:lang w:eastAsia="de-DE"/>
            </w:rPr>
            <w:tab/>
          </w:r>
          <w:r>
            <w:rPr>
              <w:rStyle w:val="Verzeichnissprung"/>
              <w:rFonts w:ascii="Calibri" w:hAnsi="Calibri"/>
              <w:b/>
              <w:bCs/>
              <w:i/>
              <w:iCs/>
              <w:color w:val="0000FF"/>
              <w:sz w:val="24"/>
              <w:szCs w:val="24"/>
              <w:u w:val="single"/>
              <w:lang w:eastAsia="de-DE"/>
            </w:rPr>
            <w:t>Creos Deutschland GmbH</w:t>
          </w:r>
          <w:r>
            <w:rPr>
              <w:rStyle w:val="Verzeichnissprung"/>
              <w:rFonts w:ascii="Calibri" w:hAnsi="Calibri"/>
              <w:b/>
              <w:bCs/>
              <w:i/>
              <w:iCs/>
              <w:vanish w:val="false"/>
              <w:color w:val="0000FF"/>
              <w:sz w:val="24"/>
              <w:szCs w:val="24"/>
              <w:u w:val="single"/>
              <w:lang w:eastAsia="de-DE"/>
            </w:rPr>
            <w:tab/>
            <w:t>3</w:t>
          </w:r>
        </w:p>
        <w:p>
          <w:pPr>
            <w:pStyle w:val="Normal"/>
            <w:tabs>
              <w:tab w:val="clear" w:pos="709"/>
              <w:tab w:val="left" w:pos="440" w:leader="none"/>
              <w:tab w:val="right" w:pos="14562" w:leader="dot"/>
            </w:tabs>
            <w:suppressAutoHyphens w:val="false"/>
            <w:ind w:hanging="567" w:left="567" w:right="113"/>
            <w:rPr>
              <w:rFonts w:ascii="Calibri" w:hAnsi="Calibri"/>
              <w:sz w:val="22"/>
              <w:szCs w:val="22"/>
              <w:lang w:eastAsia="de-DE"/>
            </w:rPr>
          </w:pPr>
          <w:r>
            <w:fldChar w:fldCharType="begin"/>
          </w:r>
          <w:r>
            <w:rPr>
              <w:rStyle w:val="Verzeichnissprung"/>
              <w:sz w:val="24"/>
              <w:i/>
              <w:u w:val="single"/>
              <w:b/>
              <w:szCs w:val="24"/>
              <w:iCs/>
              <w:bCs/>
              <w:rFonts w:ascii="Calibri" w:hAnsi="Calibri"/>
              <w:color w:val="0000FF"/>
              <w:lang w:eastAsia="de-DE"/>
            </w:rPr>
            <w:instrText xml:space="preserve"> HYPERLINK "../../../v.juengling/AppData/Roaming/regisafe/Storage/59/2024-06-26_Abw%C3%A4gungstabelle.docx" \l "_Toc122069577"</w:instrText>
          </w:r>
          <w:r>
            <w:rPr>
              <w:rStyle w:val="Verzeichnissprung"/>
              <w:sz w:val="24"/>
              <w:i/>
              <w:u w:val="single"/>
              <w:b/>
              <w:szCs w:val="24"/>
              <w:iCs/>
              <w:bCs/>
              <w:rFonts w:ascii="Calibri" w:hAnsi="Calibri"/>
              <w:color w:val="0000FF"/>
              <w:lang w:eastAsia="de-DE"/>
            </w:rPr>
            <w:fldChar w:fldCharType="separate"/>
          </w:r>
          <w:r>
            <w:rPr>
              <w:rStyle w:val="Verzeichnissprung"/>
              <w:rFonts w:ascii="Calibri" w:hAnsi="Calibri"/>
              <w:b/>
              <w:bCs/>
              <w:i/>
              <w:iCs/>
              <w:color w:val="0000FF"/>
              <w:sz w:val="24"/>
              <w:szCs w:val="24"/>
              <w:u w:val="single"/>
              <w:lang w:eastAsia="de-DE"/>
            </w:rPr>
            <w:t>11</w:t>
          </w:r>
          <w:r>
            <w:rPr>
              <w:rStyle w:val="Verzeichnissprung"/>
              <w:sz w:val="24"/>
              <w:i/>
              <w:u w:val="single"/>
              <w:b/>
              <w:szCs w:val="24"/>
              <w:iCs/>
              <w:bCs/>
              <w:rFonts w:ascii="Calibri" w:hAnsi="Calibri"/>
              <w:color w:val="0000FF"/>
              <w:lang w:eastAsia="de-DE"/>
            </w:rPr>
            <w:fldChar w:fldCharType="end"/>
          </w:r>
          <w:r>
            <w:rPr>
              <w:rStyle w:val="Verzeichnissprung"/>
              <w:rFonts w:ascii="Calibri" w:hAnsi="Calibri"/>
              <w:color w:val="0000FF"/>
              <w:sz w:val="24"/>
              <w:szCs w:val="22"/>
              <w:u w:val="single"/>
              <w:lang w:eastAsia="de-DE"/>
            </w:rPr>
            <w:tab/>
          </w:r>
          <w:r>
            <w:rPr>
              <w:rStyle w:val="Verzeichnissprung"/>
              <w:rFonts w:ascii="Calibri" w:hAnsi="Calibri"/>
              <w:b/>
              <w:bCs/>
              <w:i/>
              <w:iCs/>
              <w:color w:val="0000FF"/>
              <w:sz w:val="24"/>
              <w:szCs w:val="24"/>
              <w:u w:val="single"/>
              <w:lang w:eastAsia="de-DE"/>
            </w:rPr>
            <w:t>Deutsche Flugsicherung</w:t>
          </w:r>
          <w:r>
            <w:rPr>
              <w:rStyle w:val="Verzeichnissprung"/>
              <w:rFonts w:ascii="Calibri" w:hAnsi="Calibri"/>
              <w:b/>
              <w:bCs/>
              <w:i/>
              <w:iCs/>
              <w:vanish w:val="false"/>
              <w:color w:val="0000FF"/>
              <w:sz w:val="24"/>
              <w:szCs w:val="24"/>
              <w:u w:val="single"/>
              <w:lang w:eastAsia="de-DE"/>
            </w:rPr>
            <w:tab/>
            <w:t>4</w:t>
          </w:r>
        </w:p>
        <w:p>
          <w:pPr>
            <w:pStyle w:val="Normal"/>
            <w:tabs>
              <w:tab w:val="clear" w:pos="709"/>
              <w:tab w:val="left" w:pos="440" w:leader="none"/>
              <w:tab w:val="right" w:pos="14562" w:leader="dot"/>
            </w:tabs>
            <w:suppressAutoHyphens w:val="false"/>
            <w:ind w:hanging="567" w:left="567" w:right="113"/>
            <w:rPr>
              <w:rFonts w:ascii="Calibri" w:hAnsi="Calibri"/>
              <w:sz w:val="22"/>
              <w:szCs w:val="22"/>
              <w:lang w:eastAsia="de-DE"/>
            </w:rPr>
          </w:pPr>
          <w:r>
            <w:fldChar w:fldCharType="begin"/>
          </w:r>
          <w:r>
            <w:rPr>
              <w:rStyle w:val="Verzeichnissprung"/>
              <w:sz w:val="24"/>
              <w:i/>
              <w:u w:val="single"/>
              <w:b/>
              <w:szCs w:val="24"/>
              <w:iCs/>
              <w:bCs/>
              <w:rFonts w:ascii="Calibri" w:hAnsi="Calibri"/>
              <w:color w:val="0000FF"/>
              <w:lang w:eastAsia="de-DE"/>
            </w:rPr>
            <w:instrText xml:space="preserve"> HYPERLINK "../../../v.juengling/AppData/Roaming/regisafe/Storage/59/2024-06-26_Abw%C3%A4gungstabelle.docx" \l "_Toc122069578"</w:instrText>
          </w:r>
          <w:r>
            <w:rPr>
              <w:rStyle w:val="Verzeichnissprung"/>
              <w:sz w:val="24"/>
              <w:i/>
              <w:u w:val="single"/>
              <w:b/>
              <w:szCs w:val="24"/>
              <w:iCs/>
              <w:bCs/>
              <w:rFonts w:ascii="Calibri" w:hAnsi="Calibri"/>
              <w:color w:val="0000FF"/>
              <w:lang w:eastAsia="de-DE"/>
            </w:rPr>
            <w:fldChar w:fldCharType="separate"/>
          </w:r>
          <w:r>
            <w:rPr>
              <w:rStyle w:val="Verzeichnissprung"/>
              <w:rFonts w:ascii="Calibri" w:hAnsi="Calibri"/>
              <w:b/>
              <w:bCs/>
              <w:i/>
              <w:iCs/>
              <w:color w:val="0000FF"/>
              <w:sz w:val="24"/>
              <w:szCs w:val="24"/>
              <w:u w:val="single"/>
              <w:lang w:eastAsia="de-DE"/>
            </w:rPr>
            <w:t>12</w:t>
          </w:r>
          <w:r>
            <w:rPr>
              <w:rStyle w:val="Verzeichnissprung"/>
              <w:sz w:val="24"/>
              <w:i/>
              <w:u w:val="single"/>
              <w:b/>
              <w:szCs w:val="24"/>
              <w:iCs/>
              <w:bCs/>
              <w:rFonts w:ascii="Calibri" w:hAnsi="Calibri"/>
              <w:color w:val="0000FF"/>
              <w:lang w:eastAsia="de-DE"/>
            </w:rPr>
            <w:fldChar w:fldCharType="end"/>
          </w:r>
          <w:r>
            <w:rPr>
              <w:rStyle w:val="Verzeichnissprung"/>
              <w:rFonts w:ascii="Calibri" w:hAnsi="Calibri"/>
              <w:color w:val="0000FF"/>
              <w:sz w:val="24"/>
              <w:szCs w:val="22"/>
              <w:u w:val="single"/>
              <w:lang w:eastAsia="de-DE"/>
            </w:rPr>
            <w:tab/>
          </w:r>
          <w:r>
            <w:rPr>
              <w:rStyle w:val="Verzeichnissprung"/>
              <w:rFonts w:ascii="Calibri" w:hAnsi="Calibri"/>
              <w:b/>
              <w:bCs/>
              <w:i/>
              <w:iCs/>
              <w:color w:val="0000FF"/>
              <w:sz w:val="24"/>
              <w:szCs w:val="24"/>
              <w:u w:val="single"/>
              <w:lang w:eastAsia="de-DE"/>
            </w:rPr>
            <w:t>Deutsche Telekom Technik GmbH</w:t>
          </w:r>
          <w:r>
            <w:rPr>
              <w:rStyle w:val="Verzeichnissprung"/>
              <w:rFonts w:ascii="Calibri" w:hAnsi="Calibri"/>
              <w:b/>
              <w:bCs/>
              <w:i/>
              <w:iCs/>
              <w:vanish w:val="false"/>
              <w:color w:val="0000FF"/>
              <w:sz w:val="24"/>
              <w:szCs w:val="24"/>
              <w:u w:val="single"/>
              <w:lang w:eastAsia="de-DE"/>
            </w:rPr>
            <w:tab/>
            <w:t>4</w:t>
          </w:r>
        </w:p>
        <w:p>
          <w:pPr>
            <w:pStyle w:val="Normal"/>
            <w:tabs>
              <w:tab w:val="clear" w:pos="709"/>
              <w:tab w:val="left" w:pos="440" w:leader="none"/>
              <w:tab w:val="right" w:pos="14562" w:leader="dot"/>
            </w:tabs>
            <w:suppressAutoHyphens w:val="false"/>
            <w:ind w:hanging="567" w:left="567" w:right="113"/>
            <w:rPr>
              <w:rFonts w:ascii="Calibri" w:hAnsi="Calibri"/>
              <w:sz w:val="22"/>
              <w:szCs w:val="22"/>
              <w:lang w:eastAsia="de-DE"/>
            </w:rPr>
          </w:pPr>
          <w:r>
            <w:fldChar w:fldCharType="begin"/>
          </w:r>
          <w:r>
            <w:rPr>
              <w:rStyle w:val="Verzeichnissprung"/>
              <w:sz w:val="24"/>
              <w:i/>
              <w:u w:val="single"/>
              <w:b/>
              <w:szCs w:val="24"/>
              <w:iCs/>
              <w:bCs/>
              <w:rFonts w:ascii="Calibri" w:hAnsi="Calibri"/>
              <w:color w:val="0000FF"/>
              <w:lang w:eastAsia="de-DE"/>
            </w:rPr>
            <w:instrText xml:space="preserve"> HYPERLINK "../../../v.juengling/AppData/Roaming/regisafe/Storage/59/2024-06-26_Abw%C3%A4gungstabelle.docx" \l "_Toc122069579"</w:instrText>
          </w:r>
          <w:r>
            <w:rPr>
              <w:rStyle w:val="Verzeichnissprung"/>
              <w:sz w:val="24"/>
              <w:i/>
              <w:u w:val="single"/>
              <w:b/>
              <w:szCs w:val="24"/>
              <w:iCs/>
              <w:bCs/>
              <w:rFonts w:ascii="Calibri" w:hAnsi="Calibri"/>
              <w:color w:val="0000FF"/>
              <w:lang w:eastAsia="de-DE"/>
            </w:rPr>
            <w:fldChar w:fldCharType="separate"/>
          </w:r>
          <w:r>
            <w:rPr>
              <w:rStyle w:val="Verzeichnissprung"/>
              <w:rFonts w:ascii="Calibri" w:hAnsi="Calibri"/>
              <w:b/>
              <w:bCs/>
              <w:i/>
              <w:iCs/>
              <w:color w:val="0000FF"/>
              <w:sz w:val="24"/>
              <w:szCs w:val="24"/>
              <w:u w:val="single"/>
              <w:lang w:eastAsia="de-DE"/>
            </w:rPr>
            <w:t>13</w:t>
          </w:r>
          <w:r>
            <w:rPr>
              <w:rStyle w:val="Verzeichnissprung"/>
              <w:sz w:val="24"/>
              <w:i/>
              <w:u w:val="single"/>
              <w:b/>
              <w:szCs w:val="24"/>
              <w:iCs/>
              <w:bCs/>
              <w:rFonts w:ascii="Calibri" w:hAnsi="Calibri"/>
              <w:color w:val="0000FF"/>
              <w:lang w:eastAsia="de-DE"/>
            </w:rPr>
            <w:fldChar w:fldCharType="end"/>
          </w:r>
          <w:r>
            <w:rPr>
              <w:rStyle w:val="Verzeichnissprung"/>
              <w:rFonts w:ascii="Calibri" w:hAnsi="Calibri"/>
              <w:color w:val="0000FF"/>
              <w:sz w:val="24"/>
              <w:szCs w:val="22"/>
              <w:u w:val="single"/>
              <w:lang w:eastAsia="de-DE"/>
            </w:rPr>
            <w:tab/>
          </w:r>
          <w:r>
            <w:rPr>
              <w:rStyle w:val="Verzeichnissprung"/>
              <w:rFonts w:ascii="Calibri" w:hAnsi="Calibri"/>
              <w:b/>
              <w:bCs/>
              <w:i/>
              <w:iCs/>
              <w:color w:val="0000FF"/>
              <w:sz w:val="24"/>
              <w:szCs w:val="24"/>
              <w:u w:val="single"/>
              <w:lang w:eastAsia="de-DE"/>
            </w:rPr>
            <w:t>Deutscher Wetterdienst</w:t>
          </w:r>
          <w:r>
            <w:rPr>
              <w:rStyle w:val="Verzeichnissprung"/>
              <w:rFonts w:ascii="Calibri" w:hAnsi="Calibri"/>
              <w:b/>
              <w:bCs/>
              <w:i/>
              <w:iCs/>
              <w:vanish w:val="false"/>
              <w:color w:val="0000FF"/>
              <w:sz w:val="24"/>
              <w:szCs w:val="24"/>
              <w:u w:val="single"/>
              <w:lang w:eastAsia="de-DE"/>
            </w:rPr>
            <w:tab/>
            <w:t>6</w:t>
          </w:r>
        </w:p>
        <w:p>
          <w:pPr>
            <w:pStyle w:val="Normal"/>
            <w:tabs>
              <w:tab w:val="clear" w:pos="709"/>
              <w:tab w:val="left" w:pos="440" w:leader="none"/>
              <w:tab w:val="right" w:pos="14562" w:leader="dot"/>
            </w:tabs>
            <w:suppressAutoHyphens w:val="false"/>
            <w:ind w:hanging="567" w:left="567" w:right="113"/>
            <w:rPr>
              <w:rFonts w:ascii="Calibri" w:hAnsi="Calibri"/>
              <w:sz w:val="22"/>
              <w:szCs w:val="22"/>
              <w:lang w:eastAsia="de-DE"/>
            </w:rPr>
          </w:pPr>
          <w:r>
            <w:fldChar w:fldCharType="begin"/>
          </w:r>
          <w:r>
            <w:rPr>
              <w:rStyle w:val="Verzeichnissprung"/>
              <w:sz w:val="24"/>
              <w:i/>
              <w:u w:val="single"/>
              <w:b/>
              <w:szCs w:val="24"/>
              <w:iCs/>
              <w:bCs/>
              <w:rFonts w:ascii="Calibri" w:hAnsi="Calibri"/>
              <w:color w:val="0000FF"/>
              <w:lang w:eastAsia="de-DE"/>
            </w:rPr>
            <w:instrText xml:space="preserve"> HYPERLINK "../../../v.juengling/AppData/Roaming/regisafe/Storage/59/2024-06-26_Abw%C3%A4gungstabelle.docx" \l "_Toc122069580"</w:instrText>
          </w:r>
          <w:r>
            <w:rPr>
              <w:rStyle w:val="Verzeichnissprung"/>
              <w:sz w:val="24"/>
              <w:i/>
              <w:u w:val="single"/>
              <w:b/>
              <w:szCs w:val="24"/>
              <w:iCs/>
              <w:bCs/>
              <w:rFonts w:ascii="Calibri" w:hAnsi="Calibri"/>
              <w:color w:val="0000FF"/>
              <w:lang w:eastAsia="de-DE"/>
            </w:rPr>
            <w:fldChar w:fldCharType="separate"/>
          </w:r>
          <w:r>
            <w:rPr>
              <w:rStyle w:val="Verzeichnissprung"/>
              <w:rFonts w:ascii="Calibri" w:hAnsi="Calibri"/>
              <w:b/>
              <w:bCs/>
              <w:i/>
              <w:iCs/>
              <w:color w:val="0000FF"/>
              <w:sz w:val="24"/>
              <w:szCs w:val="24"/>
              <w:u w:val="single"/>
              <w:lang w:eastAsia="de-DE"/>
            </w:rPr>
            <w:t>15</w:t>
          </w:r>
          <w:r>
            <w:rPr>
              <w:rStyle w:val="Verzeichnissprung"/>
              <w:sz w:val="24"/>
              <w:i/>
              <w:u w:val="single"/>
              <w:b/>
              <w:szCs w:val="24"/>
              <w:iCs/>
              <w:bCs/>
              <w:rFonts w:ascii="Calibri" w:hAnsi="Calibri"/>
              <w:color w:val="0000FF"/>
              <w:lang w:eastAsia="de-DE"/>
            </w:rPr>
            <w:fldChar w:fldCharType="end"/>
          </w:r>
          <w:r>
            <w:rPr>
              <w:rStyle w:val="Verzeichnissprung"/>
              <w:rFonts w:ascii="Calibri" w:hAnsi="Calibri"/>
              <w:color w:val="0000FF"/>
              <w:sz w:val="24"/>
              <w:szCs w:val="22"/>
              <w:u w:val="single"/>
              <w:lang w:eastAsia="de-DE"/>
            </w:rPr>
            <w:tab/>
          </w:r>
          <w:r>
            <w:rPr>
              <w:rStyle w:val="Verzeichnissprung"/>
              <w:rFonts w:ascii="Calibri" w:hAnsi="Calibri"/>
              <w:b/>
              <w:bCs/>
              <w:i/>
              <w:iCs/>
              <w:color w:val="0000FF"/>
              <w:sz w:val="24"/>
              <w:szCs w:val="24"/>
              <w:u w:val="single"/>
              <w:lang w:eastAsia="de-DE"/>
            </w:rPr>
            <w:t>DLR Mosel</w:t>
          </w:r>
          <w:r>
            <w:rPr>
              <w:rStyle w:val="Verzeichnissprung"/>
              <w:rFonts w:ascii="Calibri" w:hAnsi="Calibri"/>
              <w:b/>
              <w:bCs/>
              <w:i/>
              <w:iCs/>
              <w:vanish w:val="false"/>
              <w:color w:val="0000FF"/>
              <w:sz w:val="24"/>
              <w:szCs w:val="24"/>
              <w:u w:val="single"/>
              <w:lang w:eastAsia="de-DE"/>
            </w:rPr>
            <w:tab/>
            <w:t>6</w:t>
          </w:r>
        </w:p>
        <w:p>
          <w:pPr>
            <w:pStyle w:val="Normal"/>
            <w:tabs>
              <w:tab w:val="clear" w:pos="709"/>
              <w:tab w:val="left" w:pos="440" w:leader="none"/>
              <w:tab w:val="right" w:pos="14562" w:leader="dot"/>
            </w:tabs>
            <w:suppressAutoHyphens w:val="false"/>
            <w:ind w:hanging="567" w:left="567" w:right="113"/>
            <w:rPr>
              <w:rFonts w:ascii="Calibri" w:hAnsi="Calibri"/>
              <w:sz w:val="22"/>
              <w:szCs w:val="22"/>
              <w:lang w:eastAsia="de-DE"/>
            </w:rPr>
          </w:pPr>
          <w:r>
            <w:fldChar w:fldCharType="begin"/>
          </w:r>
          <w:r>
            <w:rPr>
              <w:rStyle w:val="Verzeichnissprung"/>
              <w:sz w:val="24"/>
              <w:i/>
              <w:u w:val="single"/>
              <w:b/>
              <w:szCs w:val="24"/>
              <w:iCs/>
              <w:bCs/>
              <w:rFonts w:ascii="Calibri" w:hAnsi="Calibri"/>
              <w:color w:val="0000FF"/>
              <w:lang w:eastAsia="de-DE"/>
            </w:rPr>
            <w:instrText xml:space="preserve"> HYPERLINK "../../../v.juengling/AppData/Roaming/regisafe/Storage/59/2024-06-26_Abw%C3%A4gungstabelle.docx" \l "_Toc122069581"</w:instrText>
          </w:r>
          <w:r>
            <w:rPr>
              <w:rStyle w:val="Verzeichnissprung"/>
              <w:sz w:val="24"/>
              <w:i/>
              <w:u w:val="single"/>
              <w:b/>
              <w:szCs w:val="24"/>
              <w:iCs/>
              <w:bCs/>
              <w:rFonts w:ascii="Calibri" w:hAnsi="Calibri"/>
              <w:color w:val="0000FF"/>
              <w:lang w:eastAsia="de-DE"/>
            </w:rPr>
            <w:fldChar w:fldCharType="separate"/>
          </w:r>
          <w:r>
            <w:rPr>
              <w:rStyle w:val="Verzeichnissprung"/>
              <w:rFonts w:ascii="Calibri" w:hAnsi="Calibri"/>
              <w:b/>
              <w:bCs/>
              <w:i/>
              <w:iCs/>
              <w:color w:val="0000FF"/>
              <w:sz w:val="24"/>
              <w:szCs w:val="24"/>
              <w:u w:val="single"/>
              <w:lang w:eastAsia="de-DE"/>
            </w:rPr>
            <w:t>17</w:t>
          </w:r>
          <w:r>
            <w:rPr>
              <w:rStyle w:val="Verzeichnissprung"/>
              <w:sz w:val="24"/>
              <w:i/>
              <w:u w:val="single"/>
              <w:b/>
              <w:szCs w:val="24"/>
              <w:iCs/>
              <w:bCs/>
              <w:rFonts w:ascii="Calibri" w:hAnsi="Calibri"/>
              <w:color w:val="0000FF"/>
              <w:lang w:eastAsia="de-DE"/>
            </w:rPr>
            <w:fldChar w:fldCharType="end"/>
          </w:r>
          <w:r>
            <w:rPr>
              <w:rStyle w:val="Verzeichnissprung"/>
              <w:rFonts w:ascii="Calibri" w:hAnsi="Calibri"/>
              <w:color w:val="0000FF"/>
              <w:sz w:val="24"/>
              <w:szCs w:val="22"/>
              <w:u w:val="single"/>
              <w:lang w:eastAsia="de-DE"/>
            </w:rPr>
            <w:tab/>
          </w:r>
          <w:r>
            <w:rPr>
              <w:rStyle w:val="Verzeichnissprung"/>
              <w:rFonts w:ascii="Calibri" w:hAnsi="Calibri"/>
              <w:b/>
              <w:bCs/>
              <w:i/>
              <w:iCs/>
              <w:color w:val="0000FF"/>
              <w:sz w:val="24"/>
              <w:szCs w:val="24"/>
              <w:u w:val="single"/>
              <w:lang w:eastAsia="de-DE"/>
            </w:rPr>
            <w:t>VGV Bernkastel-Kues, Fachbereich II Finanzen</w:t>
          </w:r>
          <w:r>
            <w:rPr>
              <w:rStyle w:val="Verzeichnissprung"/>
              <w:rFonts w:ascii="Calibri" w:hAnsi="Calibri"/>
              <w:b/>
              <w:bCs/>
              <w:i/>
              <w:iCs/>
              <w:vanish w:val="false"/>
              <w:color w:val="0000FF"/>
              <w:sz w:val="24"/>
              <w:szCs w:val="24"/>
              <w:u w:val="single"/>
              <w:lang w:eastAsia="de-DE"/>
            </w:rPr>
            <w:tab/>
            <w:t>6</w:t>
          </w:r>
        </w:p>
        <w:p>
          <w:pPr>
            <w:pStyle w:val="Normal"/>
            <w:tabs>
              <w:tab w:val="clear" w:pos="709"/>
              <w:tab w:val="left" w:pos="440" w:leader="none"/>
              <w:tab w:val="right" w:pos="14562" w:leader="dot"/>
            </w:tabs>
            <w:suppressAutoHyphens w:val="false"/>
            <w:ind w:hanging="567" w:left="567" w:right="113"/>
            <w:rPr>
              <w:rFonts w:ascii="Calibri" w:hAnsi="Calibri"/>
              <w:sz w:val="22"/>
              <w:szCs w:val="22"/>
              <w:lang w:eastAsia="de-DE"/>
            </w:rPr>
          </w:pPr>
          <w:r>
            <w:fldChar w:fldCharType="begin"/>
          </w:r>
          <w:r>
            <w:rPr>
              <w:rStyle w:val="Verzeichnissprung"/>
              <w:sz w:val="24"/>
              <w:i/>
              <w:u w:val="single"/>
              <w:b/>
              <w:szCs w:val="24"/>
              <w:iCs/>
              <w:bCs/>
              <w:rFonts w:ascii="Calibri" w:hAnsi="Calibri"/>
              <w:color w:val="0000FF"/>
              <w:lang w:eastAsia="de-DE"/>
            </w:rPr>
            <w:instrText xml:space="preserve"> HYPERLINK "../../../v.juengling/AppData/Roaming/regisafe/Storage/59/2024-06-26_Abw%C3%A4gungstabelle.docx" \l "_Toc122069582"</w:instrText>
          </w:r>
          <w:r>
            <w:rPr>
              <w:rStyle w:val="Verzeichnissprung"/>
              <w:sz w:val="24"/>
              <w:i/>
              <w:u w:val="single"/>
              <w:b/>
              <w:szCs w:val="24"/>
              <w:iCs/>
              <w:bCs/>
              <w:rFonts w:ascii="Calibri" w:hAnsi="Calibri"/>
              <w:color w:val="0000FF"/>
              <w:lang w:eastAsia="de-DE"/>
            </w:rPr>
            <w:fldChar w:fldCharType="separate"/>
          </w:r>
          <w:r>
            <w:rPr>
              <w:rStyle w:val="Verzeichnissprung"/>
              <w:rFonts w:ascii="Calibri" w:hAnsi="Calibri"/>
              <w:b/>
              <w:bCs/>
              <w:i/>
              <w:iCs/>
              <w:color w:val="0000FF"/>
              <w:sz w:val="24"/>
              <w:szCs w:val="24"/>
              <w:u w:val="single"/>
              <w:lang w:eastAsia="de-DE"/>
            </w:rPr>
            <w:t>19</w:t>
          </w:r>
          <w:r>
            <w:rPr>
              <w:rStyle w:val="Verzeichnissprung"/>
              <w:sz w:val="24"/>
              <w:i/>
              <w:u w:val="single"/>
              <w:b/>
              <w:szCs w:val="24"/>
              <w:iCs/>
              <w:bCs/>
              <w:rFonts w:ascii="Calibri" w:hAnsi="Calibri"/>
              <w:color w:val="0000FF"/>
              <w:lang w:eastAsia="de-DE"/>
            </w:rPr>
            <w:fldChar w:fldCharType="end"/>
          </w:r>
          <w:r>
            <w:rPr>
              <w:rStyle w:val="Verzeichnissprung"/>
              <w:rFonts w:ascii="Calibri" w:hAnsi="Calibri"/>
              <w:color w:val="0000FF"/>
              <w:sz w:val="24"/>
              <w:szCs w:val="22"/>
              <w:u w:val="single"/>
              <w:lang w:eastAsia="de-DE"/>
            </w:rPr>
            <w:tab/>
          </w:r>
          <w:r>
            <w:rPr>
              <w:rStyle w:val="Verzeichnissprung"/>
              <w:rFonts w:ascii="Calibri" w:hAnsi="Calibri"/>
              <w:b/>
              <w:bCs/>
              <w:i/>
              <w:iCs/>
              <w:color w:val="0000FF"/>
              <w:sz w:val="24"/>
              <w:szCs w:val="24"/>
              <w:u w:val="single"/>
              <w:lang w:eastAsia="de-DE"/>
            </w:rPr>
            <w:t>VGV Bernkastel-Kues, Verbandsgemeindewerke</w:t>
          </w:r>
          <w:r>
            <w:rPr>
              <w:rStyle w:val="Verzeichnissprung"/>
              <w:rFonts w:ascii="Calibri" w:hAnsi="Calibri"/>
              <w:b/>
              <w:bCs/>
              <w:i/>
              <w:iCs/>
              <w:vanish w:val="false"/>
              <w:color w:val="0000FF"/>
              <w:sz w:val="24"/>
              <w:szCs w:val="24"/>
              <w:u w:val="single"/>
              <w:lang w:eastAsia="de-DE"/>
            </w:rPr>
            <w:tab/>
            <w:t>7</w:t>
          </w:r>
        </w:p>
        <w:p>
          <w:pPr>
            <w:pStyle w:val="Normal"/>
            <w:tabs>
              <w:tab w:val="clear" w:pos="709"/>
              <w:tab w:val="left" w:pos="440" w:leader="none"/>
              <w:tab w:val="right" w:pos="14562" w:leader="dot"/>
            </w:tabs>
            <w:suppressAutoHyphens w:val="false"/>
            <w:ind w:hanging="567" w:left="567" w:right="113"/>
            <w:rPr>
              <w:rFonts w:ascii="Calibri" w:hAnsi="Calibri"/>
              <w:sz w:val="22"/>
              <w:szCs w:val="22"/>
              <w:lang w:eastAsia="de-DE"/>
            </w:rPr>
          </w:pPr>
          <w:r>
            <w:fldChar w:fldCharType="begin"/>
          </w:r>
          <w:r>
            <w:rPr>
              <w:rStyle w:val="Verzeichnissprung"/>
              <w:sz w:val="24"/>
              <w:i/>
              <w:u w:val="single"/>
              <w:b/>
              <w:szCs w:val="24"/>
              <w:iCs/>
              <w:bCs/>
              <w:rFonts w:ascii="Calibri" w:hAnsi="Calibri"/>
              <w:color w:val="0000FF"/>
              <w:lang w:eastAsia="de-DE"/>
            </w:rPr>
            <w:instrText xml:space="preserve"> HYPERLINK "../../../v.juengling/AppData/Roaming/regisafe/Storage/59/2024-06-26_Abw%C3%A4gungstabelle.docx" \l "_Toc122069583"</w:instrText>
          </w:r>
          <w:r>
            <w:rPr>
              <w:rStyle w:val="Verzeichnissprung"/>
              <w:sz w:val="24"/>
              <w:i/>
              <w:u w:val="single"/>
              <w:b/>
              <w:szCs w:val="24"/>
              <w:iCs/>
              <w:bCs/>
              <w:rFonts w:ascii="Calibri" w:hAnsi="Calibri"/>
              <w:color w:val="0000FF"/>
              <w:lang w:eastAsia="de-DE"/>
            </w:rPr>
            <w:fldChar w:fldCharType="separate"/>
          </w:r>
          <w:r>
            <w:rPr>
              <w:rStyle w:val="Verzeichnissprung"/>
              <w:rFonts w:ascii="Calibri" w:hAnsi="Calibri"/>
              <w:b/>
              <w:bCs/>
              <w:i/>
              <w:iCs/>
              <w:color w:val="0000FF"/>
              <w:sz w:val="24"/>
              <w:szCs w:val="24"/>
              <w:u w:val="single"/>
              <w:lang w:eastAsia="de-DE"/>
            </w:rPr>
            <w:t>20</w:t>
          </w:r>
          <w:r>
            <w:rPr>
              <w:rStyle w:val="Verzeichnissprung"/>
              <w:sz w:val="24"/>
              <w:i/>
              <w:u w:val="single"/>
              <w:b/>
              <w:szCs w:val="24"/>
              <w:iCs/>
              <w:bCs/>
              <w:rFonts w:ascii="Calibri" w:hAnsi="Calibri"/>
              <w:color w:val="0000FF"/>
              <w:lang w:eastAsia="de-DE"/>
            </w:rPr>
            <w:fldChar w:fldCharType="end"/>
          </w:r>
          <w:r>
            <w:rPr>
              <w:rStyle w:val="Verzeichnissprung"/>
              <w:rFonts w:ascii="Calibri" w:hAnsi="Calibri"/>
              <w:color w:val="0000FF"/>
              <w:sz w:val="24"/>
              <w:szCs w:val="22"/>
              <w:u w:val="single"/>
              <w:lang w:eastAsia="de-DE"/>
            </w:rPr>
            <w:tab/>
          </w:r>
          <w:r>
            <w:rPr>
              <w:rStyle w:val="Verzeichnissprung"/>
              <w:rFonts w:ascii="Calibri" w:hAnsi="Calibri"/>
              <w:b/>
              <w:bCs/>
              <w:i/>
              <w:iCs/>
              <w:color w:val="0000FF"/>
              <w:sz w:val="24"/>
              <w:szCs w:val="24"/>
              <w:u w:val="single"/>
              <w:lang w:eastAsia="de-DE"/>
            </w:rPr>
            <w:t>Fernleitungs-Betriebsgesellschaft</w:t>
          </w:r>
          <w:r>
            <w:rPr>
              <w:rStyle w:val="Verzeichnissprung"/>
              <w:rFonts w:ascii="Calibri" w:hAnsi="Calibri"/>
              <w:b/>
              <w:bCs/>
              <w:i/>
              <w:iCs/>
              <w:vanish w:val="false"/>
              <w:color w:val="0000FF"/>
              <w:sz w:val="24"/>
              <w:szCs w:val="24"/>
              <w:u w:val="single"/>
              <w:lang w:eastAsia="de-DE"/>
            </w:rPr>
            <w:tab/>
            <w:t>8</w:t>
          </w:r>
        </w:p>
        <w:p>
          <w:pPr>
            <w:pStyle w:val="Normal"/>
            <w:tabs>
              <w:tab w:val="clear" w:pos="709"/>
              <w:tab w:val="left" w:pos="440" w:leader="none"/>
              <w:tab w:val="right" w:pos="14562" w:leader="dot"/>
            </w:tabs>
            <w:suppressAutoHyphens w:val="false"/>
            <w:ind w:hanging="567" w:left="567" w:right="113"/>
            <w:rPr>
              <w:rFonts w:ascii="Calibri" w:hAnsi="Calibri"/>
              <w:sz w:val="22"/>
              <w:szCs w:val="22"/>
              <w:lang w:eastAsia="de-DE"/>
            </w:rPr>
          </w:pPr>
          <w:r>
            <w:fldChar w:fldCharType="begin"/>
          </w:r>
          <w:r>
            <w:rPr>
              <w:rStyle w:val="Verzeichnissprung"/>
              <w:sz w:val="24"/>
              <w:i/>
              <w:u w:val="single"/>
              <w:b/>
              <w:szCs w:val="24"/>
              <w:iCs/>
              <w:bCs/>
              <w:rFonts w:ascii="Calibri" w:hAnsi="Calibri"/>
              <w:color w:val="0000FF"/>
              <w:lang w:eastAsia="de-DE"/>
            </w:rPr>
            <w:instrText xml:space="preserve"> HYPERLINK "../../../v.juengling/AppData/Roaming/regisafe/Storage/59/2024-06-26_Abw%C3%A4gungstabelle.docx" \l "_Toc122069584"</w:instrText>
          </w:r>
          <w:r>
            <w:rPr>
              <w:rStyle w:val="Verzeichnissprung"/>
              <w:sz w:val="24"/>
              <w:i/>
              <w:u w:val="single"/>
              <w:b/>
              <w:szCs w:val="24"/>
              <w:iCs/>
              <w:bCs/>
              <w:rFonts w:ascii="Calibri" w:hAnsi="Calibri"/>
              <w:color w:val="0000FF"/>
              <w:lang w:eastAsia="de-DE"/>
            </w:rPr>
            <w:fldChar w:fldCharType="separate"/>
          </w:r>
          <w:r>
            <w:rPr>
              <w:rStyle w:val="Verzeichnissprung"/>
              <w:rFonts w:ascii="Calibri" w:hAnsi="Calibri"/>
              <w:b/>
              <w:bCs/>
              <w:i/>
              <w:iCs/>
              <w:color w:val="0000FF"/>
              <w:sz w:val="24"/>
              <w:szCs w:val="24"/>
              <w:u w:val="single"/>
              <w:lang w:eastAsia="de-DE"/>
            </w:rPr>
            <w:t>22</w:t>
          </w:r>
          <w:r>
            <w:rPr>
              <w:rStyle w:val="Verzeichnissprung"/>
              <w:sz w:val="24"/>
              <w:i/>
              <w:u w:val="single"/>
              <w:b/>
              <w:szCs w:val="24"/>
              <w:iCs/>
              <w:bCs/>
              <w:rFonts w:ascii="Calibri" w:hAnsi="Calibri"/>
              <w:color w:val="0000FF"/>
              <w:lang w:eastAsia="de-DE"/>
            </w:rPr>
            <w:fldChar w:fldCharType="end"/>
          </w:r>
          <w:r>
            <w:rPr>
              <w:rStyle w:val="Verzeichnissprung"/>
              <w:rFonts w:ascii="Calibri" w:hAnsi="Calibri"/>
              <w:color w:val="0000FF"/>
              <w:sz w:val="24"/>
              <w:szCs w:val="22"/>
              <w:u w:val="single"/>
              <w:lang w:eastAsia="de-DE"/>
            </w:rPr>
            <w:tab/>
          </w:r>
          <w:r>
            <w:rPr>
              <w:rStyle w:val="Verzeichnissprung"/>
              <w:rFonts w:ascii="Calibri" w:hAnsi="Calibri"/>
              <w:b/>
              <w:bCs/>
              <w:i/>
              <w:iCs/>
              <w:color w:val="0000FF"/>
              <w:sz w:val="24"/>
              <w:szCs w:val="24"/>
              <w:u w:val="single"/>
              <w:lang w:eastAsia="de-DE"/>
            </w:rPr>
            <w:t>Forstamt Traben-Trarbach</w:t>
          </w:r>
          <w:r>
            <w:rPr>
              <w:rStyle w:val="Verzeichnissprung"/>
              <w:rFonts w:ascii="Calibri" w:hAnsi="Calibri"/>
              <w:b/>
              <w:bCs/>
              <w:i/>
              <w:iCs/>
              <w:vanish w:val="false"/>
              <w:color w:val="0000FF"/>
              <w:sz w:val="24"/>
              <w:szCs w:val="24"/>
              <w:u w:val="single"/>
              <w:lang w:eastAsia="de-DE"/>
            </w:rPr>
            <w:tab/>
            <w:t>8</w:t>
          </w:r>
        </w:p>
        <w:p>
          <w:pPr>
            <w:pStyle w:val="Normal"/>
            <w:tabs>
              <w:tab w:val="clear" w:pos="709"/>
              <w:tab w:val="left" w:pos="440" w:leader="none"/>
              <w:tab w:val="right" w:pos="14562" w:leader="dot"/>
            </w:tabs>
            <w:suppressAutoHyphens w:val="false"/>
            <w:ind w:hanging="567" w:left="567" w:right="113"/>
            <w:rPr>
              <w:rFonts w:ascii="Calibri" w:hAnsi="Calibri"/>
              <w:sz w:val="22"/>
              <w:szCs w:val="22"/>
              <w:lang w:eastAsia="de-DE"/>
            </w:rPr>
          </w:pPr>
          <w:r>
            <w:fldChar w:fldCharType="begin"/>
          </w:r>
          <w:r>
            <w:rPr>
              <w:rStyle w:val="Verzeichnissprung"/>
              <w:sz w:val="24"/>
              <w:i/>
              <w:u w:val="single"/>
              <w:b/>
              <w:szCs w:val="24"/>
              <w:iCs/>
              <w:bCs/>
              <w:rFonts w:ascii="Calibri" w:hAnsi="Calibri"/>
              <w:color w:val="0000FF"/>
              <w:lang w:eastAsia="de-DE"/>
            </w:rPr>
            <w:instrText xml:space="preserve"> HYPERLINK "../../../v.juengling/AppData/Roaming/regisafe/Storage/59/2024-06-26_Abw%C3%A4gungstabelle.docx" \l "_Toc122069585"</w:instrText>
          </w:r>
          <w:r>
            <w:rPr>
              <w:rStyle w:val="Verzeichnissprung"/>
              <w:sz w:val="24"/>
              <w:i/>
              <w:u w:val="single"/>
              <w:b/>
              <w:szCs w:val="24"/>
              <w:iCs/>
              <w:bCs/>
              <w:rFonts w:ascii="Calibri" w:hAnsi="Calibri"/>
              <w:color w:val="0000FF"/>
              <w:lang w:eastAsia="de-DE"/>
            </w:rPr>
            <w:fldChar w:fldCharType="separate"/>
          </w:r>
          <w:r>
            <w:rPr>
              <w:rStyle w:val="Verzeichnissprung"/>
              <w:rFonts w:ascii="Calibri" w:hAnsi="Calibri"/>
              <w:b/>
              <w:bCs/>
              <w:i/>
              <w:iCs/>
              <w:color w:val="0000FF"/>
              <w:sz w:val="24"/>
              <w:szCs w:val="24"/>
              <w:u w:val="single"/>
              <w:lang w:eastAsia="de-DE"/>
            </w:rPr>
            <w:t>25</w:t>
          </w:r>
          <w:r>
            <w:rPr>
              <w:rStyle w:val="Verzeichnissprung"/>
              <w:sz w:val="24"/>
              <w:i/>
              <w:u w:val="single"/>
              <w:b/>
              <w:szCs w:val="24"/>
              <w:iCs/>
              <w:bCs/>
              <w:rFonts w:ascii="Calibri" w:hAnsi="Calibri"/>
              <w:color w:val="0000FF"/>
              <w:lang w:eastAsia="de-DE"/>
            </w:rPr>
            <w:fldChar w:fldCharType="end"/>
          </w:r>
          <w:r>
            <w:rPr>
              <w:rStyle w:val="Verzeichnissprung"/>
              <w:rFonts w:ascii="Calibri" w:hAnsi="Calibri"/>
              <w:color w:val="0000FF"/>
              <w:sz w:val="24"/>
              <w:szCs w:val="22"/>
              <w:u w:val="single"/>
              <w:lang w:eastAsia="de-DE"/>
            </w:rPr>
            <w:tab/>
          </w:r>
          <w:r>
            <w:rPr>
              <w:rStyle w:val="Verzeichnissprung"/>
              <w:rFonts w:ascii="Calibri" w:hAnsi="Calibri"/>
              <w:b/>
              <w:bCs/>
              <w:i/>
              <w:iCs/>
              <w:color w:val="0000FF"/>
              <w:sz w:val="24"/>
              <w:szCs w:val="24"/>
              <w:u w:val="single"/>
              <w:lang w:eastAsia="de-DE"/>
            </w:rPr>
            <w:t>Generaldirektion Kulturelles Erbe</w:t>
          </w:r>
          <w:r>
            <w:rPr>
              <w:rStyle w:val="Verzeichnissprung"/>
              <w:rFonts w:ascii="Calibri" w:hAnsi="Calibri"/>
              <w:b/>
              <w:bCs/>
              <w:i/>
              <w:iCs/>
              <w:vanish w:val="false"/>
              <w:color w:val="0000FF"/>
              <w:sz w:val="24"/>
              <w:szCs w:val="24"/>
              <w:u w:val="single"/>
              <w:lang w:eastAsia="de-DE"/>
            </w:rPr>
            <w:tab/>
            <w:t>8</w:t>
          </w:r>
        </w:p>
        <w:p>
          <w:pPr>
            <w:pStyle w:val="Normal"/>
            <w:tabs>
              <w:tab w:val="clear" w:pos="709"/>
              <w:tab w:val="left" w:pos="440" w:leader="none"/>
              <w:tab w:val="right" w:pos="14562" w:leader="dot"/>
            </w:tabs>
            <w:suppressAutoHyphens w:val="false"/>
            <w:ind w:hanging="567" w:left="567" w:right="113"/>
            <w:rPr>
              <w:rFonts w:ascii="Calibri" w:hAnsi="Calibri"/>
              <w:sz w:val="22"/>
              <w:szCs w:val="22"/>
              <w:lang w:eastAsia="de-DE"/>
            </w:rPr>
          </w:pPr>
          <w:r>
            <w:fldChar w:fldCharType="begin"/>
          </w:r>
          <w:r>
            <w:rPr>
              <w:rStyle w:val="Verzeichnissprung"/>
              <w:sz w:val="24"/>
              <w:i/>
              <w:u w:val="single"/>
              <w:b/>
              <w:szCs w:val="24"/>
              <w:iCs/>
              <w:bCs/>
              <w:rFonts w:ascii="Calibri" w:hAnsi="Calibri"/>
              <w:color w:val="0000FF"/>
              <w:lang w:eastAsia="de-DE"/>
            </w:rPr>
            <w:instrText xml:space="preserve"> HYPERLINK "../../../v.juengling/AppData/Roaming/regisafe/Storage/59/2024-06-26_Abw%C3%A4gungstabelle.docx" \l "_Toc122069586"</w:instrText>
          </w:r>
          <w:r>
            <w:rPr>
              <w:rStyle w:val="Verzeichnissprung"/>
              <w:sz w:val="24"/>
              <w:i/>
              <w:u w:val="single"/>
              <w:b/>
              <w:szCs w:val="24"/>
              <w:iCs/>
              <w:bCs/>
              <w:rFonts w:ascii="Calibri" w:hAnsi="Calibri"/>
              <w:color w:val="0000FF"/>
              <w:lang w:eastAsia="de-DE"/>
            </w:rPr>
            <w:fldChar w:fldCharType="separate"/>
          </w:r>
          <w:r>
            <w:rPr>
              <w:rStyle w:val="Verzeichnissprung"/>
              <w:rFonts w:ascii="Calibri" w:hAnsi="Calibri"/>
              <w:b/>
              <w:bCs/>
              <w:i/>
              <w:iCs/>
              <w:color w:val="0000FF"/>
              <w:sz w:val="24"/>
              <w:szCs w:val="24"/>
              <w:u w:val="single"/>
              <w:lang w:eastAsia="de-DE"/>
            </w:rPr>
            <w:t>26</w:t>
          </w:r>
          <w:r>
            <w:rPr>
              <w:rStyle w:val="Verzeichnissprung"/>
              <w:sz w:val="24"/>
              <w:i/>
              <w:u w:val="single"/>
              <w:b/>
              <w:szCs w:val="24"/>
              <w:iCs/>
              <w:bCs/>
              <w:rFonts w:ascii="Calibri" w:hAnsi="Calibri"/>
              <w:color w:val="0000FF"/>
              <w:lang w:eastAsia="de-DE"/>
            </w:rPr>
            <w:fldChar w:fldCharType="end"/>
          </w:r>
          <w:r>
            <w:rPr>
              <w:rStyle w:val="Verzeichnissprung"/>
              <w:rFonts w:ascii="Calibri" w:hAnsi="Calibri"/>
              <w:color w:val="0000FF"/>
              <w:sz w:val="24"/>
              <w:szCs w:val="22"/>
              <w:u w:val="single"/>
              <w:lang w:eastAsia="de-DE"/>
            </w:rPr>
            <w:tab/>
          </w:r>
          <w:r>
            <w:rPr>
              <w:rStyle w:val="Verzeichnissprung"/>
              <w:rFonts w:ascii="Calibri" w:hAnsi="Calibri"/>
              <w:b/>
              <w:bCs/>
              <w:i/>
              <w:iCs/>
              <w:color w:val="0000FF"/>
              <w:sz w:val="24"/>
              <w:szCs w:val="24"/>
              <w:u w:val="single"/>
              <w:lang w:eastAsia="de-DE"/>
            </w:rPr>
            <w:t>Generaldirektion Kulturelles Erbe</w:t>
          </w:r>
          <w:r>
            <w:rPr>
              <w:rStyle w:val="Verzeichnissprung"/>
              <w:rFonts w:ascii="Calibri" w:hAnsi="Calibri"/>
              <w:b/>
              <w:bCs/>
              <w:i/>
              <w:iCs/>
              <w:vanish w:val="false"/>
              <w:color w:val="0000FF"/>
              <w:sz w:val="24"/>
              <w:szCs w:val="24"/>
              <w:u w:val="single"/>
              <w:lang w:eastAsia="de-DE"/>
            </w:rPr>
            <w:tab/>
            <w:t>8</w:t>
          </w:r>
        </w:p>
        <w:p>
          <w:pPr>
            <w:pStyle w:val="Normal"/>
            <w:tabs>
              <w:tab w:val="clear" w:pos="709"/>
              <w:tab w:val="left" w:pos="440" w:leader="none"/>
              <w:tab w:val="right" w:pos="14562" w:leader="dot"/>
            </w:tabs>
            <w:suppressAutoHyphens w:val="false"/>
            <w:ind w:hanging="567" w:left="567" w:right="113"/>
            <w:rPr>
              <w:rFonts w:ascii="Calibri" w:hAnsi="Calibri"/>
              <w:sz w:val="22"/>
              <w:szCs w:val="22"/>
              <w:lang w:eastAsia="de-DE"/>
            </w:rPr>
          </w:pPr>
          <w:r>
            <w:fldChar w:fldCharType="begin"/>
          </w:r>
          <w:r>
            <w:rPr>
              <w:rStyle w:val="Verzeichnissprung"/>
              <w:sz w:val="24"/>
              <w:i/>
              <w:u w:val="single"/>
              <w:b/>
              <w:szCs w:val="24"/>
              <w:iCs/>
              <w:bCs/>
              <w:rFonts w:ascii="Calibri" w:hAnsi="Calibri"/>
              <w:color w:val="0000FF"/>
              <w:lang w:eastAsia="de-DE"/>
            </w:rPr>
            <w:instrText xml:space="preserve"> HYPERLINK "../../../v.juengling/AppData/Roaming/regisafe/Storage/59/2024-06-26_Abw%C3%A4gungstabelle.docx" \l "_Toc122069587"</w:instrText>
          </w:r>
          <w:r>
            <w:rPr>
              <w:rStyle w:val="Verzeichnissprung"/>
              <w:sz w:val="24"/>
              <w:i/>
              <w:u w:val="single"/>
              <w:b/>
              <w:szCs w:val="24"/>
              <w:iCs/>
              <w:bCs/>
              <w:rFonts w:ascii="Calibri" w:hAnsi="Calibri"/>
              <w:color w:val="0000FF"/>
              <w:lang w:eastAsia="de-DE"/>
            </w:rPr>
            <w:fldChar w:fldCharType="separate"/>
          </w:r>
          <w:r>
            <w:rPr>
              <w:rStyle w:val="Verzeichnissprung"/>
              <w:rFonts w:ascii="Calibri" w:hAnsi="Calibri"/>
              <w:b/>
              <w:bCs/>
              <w:i/>
              <w:iCs/>
              <w:color w:val="0000FF"/>
              <w:sz w:val="24"/>
              <w:szCs w:val="24"/>
              <w:u w:val="single"/>
              <w:lang w:eastAsia="de-DE"/>
            </w:rPr>
            <w:t>27</w:t>
          </w:r>
          <w:r>
            <w:rPr>
              <w:rStyle w:val="Verzeichnissprung"/>
              <w:sz w:val="24"/>
              <w:i/>
              <w:u w:val="single"/>
              <w:b/>
              <w:szCs w:val="24"/>
              <w:iCs/>
              <w:bCs/>
              <w:rFonts w:ascii="Calibri" w:hAnsi="Calibri"/>
              <w:color w:val="0000FF"/>
              <w:lang w:eastAsia="de-DE"/>
            </w:rPr>
            <w:fldChar w:fldCharType="end"/>
          </w:r>
          <w:r>
            <w:rPr>
              <w:rStyle w:val="Verzeichnissprung"/>
              <w:rFonts w:ascii="Calibri" w:hAnsi="Calibri"/>
              <w:color w:val="0000FF"/>
              <w:sz w:val="24"/>
              <w:szCs w:val="22"/>
              <w:u w:val="single"/>
              <w:lang w:eastAsia="de-DE"/>
            </w:rPr>
            <w:tab/>
          </w:r>
          <w:r>
            <w:rPr>
              <w:rStyle w:val="Verzeichnissprung"/>
              <w:rFonts w:ascii="Calibri" w:hAnsi="Calibri"/>
              <w:b/>
              <w:bCs/>
              <w:i/>
              <w:iCs/>
              <w:color w:val="0000FF"/>
              <w:sz w:val="24"/>
              <w:szCs w:val="24"/>
              <w:u w:val="single"/>
              <w:lang w:eastAsia="de-DE"/>
            </w:rPr>
            <w:t>Handwerkskammer Trier</w:t>
          </w:r>
          <w:r>
            <w:rPr>
              <w:rStyle w:val="Verzeichnissprung"/>
              <w:rFonts w:ascii="Calibri" w:hAnsi="Calibri"/>
              <w:b/>
              <w:bCs/>
              <w:i/>
              <w:iCs/>
              <w:vanish w:val="false"/>
              <w:color w:val="0000FF"/>
              <w:sz w:val="24"/>
              <w:szCs w:val="24"/>
              <w:u w:val="single"/>
              <w:lang w:eastAsia="de-DE"/>
            </w:rPr>
            <w:tab/>
            <w:t>9</w:t>
          </w:r>
        </w:p>
        <w:p>
          <w:pPr>
            <w:pStyle w:val="Normal"/>
            <w:tabs>
              <w:tab w:val="clear" w:pos="709"/>
              <w:tab w:val="left" w:pos="440" w:leader="none"/>
              <w:tab w:val="right" w:pos="14562" w:leader="dot"/>
            </w:tabs>
            <w:suppressAutoHyphens w:val="false"/>
            <w:ind w:hanging="567" w:left="567" w:right="113"/>
            <w:rPr>
              <w:rFonts w:ascii="Calibri" w:hAnsi="Calibri"/>
              <w:sz w:val="22"/>
              <w:szCs w:val="22"/>
              <w:lang w:eastAsia="de-DE"/>
            </w:rPr>
          </w:pPr>
          <w:r>
            <w:fldChar w:fldCharType="begin"/>
          </w:r>
          <w:r>
            <w:rPr>
              <w:rStyle w:val="Verzeichnissprung"/>
              <w:sz w:val="24"/>
              <w:i/>
              <w:u w:val="single"/>
              <w:b/>
              <w:szCs w:val="24"/>
              <w:iCs/>
              <w:bCs/>
              <w:rFonts w:ascii="Calibri" w:hAnsi="Calibri"/>
              <w:color w:val="0000FF"/>
              <w:lang w:eastAsia="de-DE"/>
            </w:rPr>
            <w:instrText xml:space="preserve"> HYPERLINK "../../../v.juengling/AppData/Roaming/regisafe/Storage/59/2024-06-26_Abw%C3%A4gungstabelle.docx" \l "_Toc122069588"</w:instrText>
          </w:r>
          <w:r>
            <w:rPr>
              <w:rStyle w:val="Verzeichnissprung"/>
              <w:sz w:val="24"/>
              <w:i/>
              <w:u w:val="single"/>
              <w:b/>
              <w:szCs w:val="24"/>
              <w:iCs/>
              <w:bCs/>
              <w:rFonts w:ascii="Calibri" w:hAnsi="Calibri"/>
              <w:color w:val="0000FF"/>
              <w:lang w:eastAsia="de-DE"/>
            </w:rPr>
            <w:fldChar w:fldCharType="separate"/>
          </w:r>
          <w:r>
            <w:rPr>
              <w:rStyle w:val="Verzeichnissprung"/>
              <w:rFonts w:ascii="Calibri" w:hAnsi="Calibri"/>
              <w:b/>
              <w:bCs/>
              <w:i/>
              <w:iCs/>
              <w:color w:val="0000FF"/>
              <w:sz w:val="24"/>
              <w:szCs w:val="24"/>
              <w:u w:val="single"/>
              <w:lang w:eastAsia="de-DE"/>
            </w:rPr>
            <w:t>28</w:t>
          </w:r>
          <w:r>
            <w:rPr>
              <w:rStyle w:val="Verzeichnissprung"/>
              <w:sz w:val="24"/>
              <w:i/>
              <w:u w:val="single"/>
              <w:b/>
              <w:szCs w:val="24"/>
              <w:iCs/>
              <w:bCs/>
              <w:rFonts w:ascii="Calibri" w:hAnsi="Calibri"/>
              <w:color w:val="0000FF"/>
              <w:lang w:eastAsia="de-DE"/>
            </w:rPr>
            <w:fldChar w:fldCharType="end"/>
          </w:r>
          <w:r>
            <w:rPr>
              <w:rStyle w:val="Verzeichnissprung"/>
              <w:rFonts w:ascii="Calibri" w:hAnsi="Calibri"/>
              <w:color w:val="0000FF"/>
              <w:sz w:val="24"/>
              <w:szCs w:val="22"/>
              <w:u w:val="single"/>
              <w:lang w:eastAsia="de-DE"/>
            </w:rPr>
            <w:tab/>
          </w:r>
          <w:r>
            <w:rPr>
              <w:rStyle w:val="Verzeichnissprung"/>
              <w:rFonts w:ascii="Calibri" w:hAnsi="Calibri"/>
              <w:b/>
              <w:bCs/>
              <w:i/>
              <w:iCs/>
              <w:color w:val="0000FF"/>
              <w:sz w:val="24"/>
              <w:szCs w:val="24"/>
              <w:u w:val="single"/>
              <w:lang w:eastAsia="de-DE"/>
            </w:rPr>
            <w:t>Industrie- und Handelskammer Trier</w:t>
          </w:r>
          <w:r>
            <w:rPr>
              <w:rStyle w:val="Verzeichnissprung"/>
              <w:rFonts w:ascii="Calibri" w:hAnsi="Calibri"/>
              <w:b/>
              <w:bCs/>
              <w:i/>
              <w:iCs/>
              <w:vanish w:val="false"/>
              <w:color w:val="0000FF"/>
              <w:sz w:val="24"/>
              <w:szCs w:val="24"/>
              <w:u w:val="single"/>
              <w:lang w:eastAsia="de-DE"/>
            </w:rPr>
            <w:tab/>
            <w:t>9</w:t>
          </w:r>
        </w:p>
        <w:p>
          <w:pPr>
            <w:pStyle w:val="Normal"/>
            <w:tabs>
              <w:tab w:val="clear" w:pos="709"/>
              <w:tab w:val="left" w:pos="440" w:leader="none"/>
              <w:tab w:val="right" w:pos="14562" w:leader="dot"/>
            </w:tabs>
            <w:suppressAutoHyphens w:val="false"/>
            <w:ind w:hanging="567" w:left="567" w:right="113"/>
            <w:rPr>
              <w:rFonts w:ascii="Calibri" w:hAnsi="Calibri"/>
              <w:sz w:val="22"/>
              <w:szCs w:val="22"/>
              <w:lang w:eastAsia="de-DE"/>
            </w:rPr>
          </w:pPr>
          <w:r>
            <w:fldChar w:fldCharType="begin"/>
          </w:r>
          <w:r>
            <w:rPr>
              <w:rStyle w:val="Verzeichnissprung"/>
              <w:sz w:val="24"/>
              <w:i/>
              <w:u w:val="single"/>
              <w:b/>
              <w:szCs w:val="24"/>
              <w:iCs/>
              <w:bCs/>
              <w:rFonts w:ascii="Calibri" w:hAnsi="Calibri"/>
              <w:color w:val="0000FF"/>
              <w:lang w:eastAsia="de-DE"/>
            </w:rPr>
            <w:instrText xml:space="preserve"> HYPERLINK "../../../v.juengling/AppData/Roaming/regisafe/Storage/59/2024-06-26_Abw%C3%A4gungstabelle.docx" \l "_Toc122069589"</w:instrText>
          </w:r>
          <w:r>
            <w:rPr>
              <w:rStyle w:val="Verzeichnissprung"/>
              <w:sz w:val="24"/>
              <w:i/>
              <w:u w:val="single"/>
              <w:b/>
              <w:szCs w:val="24"/>
              <w:iCs/>
              <w:bCs/>
              <w:rFonts w:ascii="Calibri" w:hAnsi="Calibri"/>
              <w:color w:val="0000FF"/>
              <w:lang w:eastAsia="de-DE"/>
            </w:rPr>
            <w:fldChar w:fldCharType="separate"/>
          </w:r>
          <w:r>
            <w:rPr>
              <w:rStyle w:val="Verzeichnissprung"/>
              <w:rFonts w:ascii="Calibri" w:hAnsi="Calibri"/>
              <w:b/>
              <w:bCs/>
              <w:i/>
              <w:iCs/>
              <w:color w:val="0000FF"/>
              <w:sz w:val="24"/>
              <w:szCs w:val="24"/>
              <w:u w:val="single"/>
              <w:lang w:eastAsia="de-DE"/>
            </w:rPr>
            <w:t>29</w:t>
          </w:r>
          <w:r>
            <w:rPr>
              <w:rStyle w:val="Verzeichnissprung"/>
              <w:sz w:val="24"/>
              <w:i/>
              <w:u w:val="single"/>
              <w:b/>
              <w:szCs w:val="24"/>
              <w:iCs/>
              <w:bCs/>
              <w:rFonts w:ascii="Calibri" w:hAnsi="Calibri"/>
              <w:color w:val="0000FF"/>
              <w:lang w:eastAsia="de-DE"/>
            </w:rPr>
            <w:fldChar w:fldCharType="end"/>
          </w:r>
          <w:r>
            <w:rPr>
              <w:rStyle w:val="Verzeichnissprung"/>
              <w:rFonts w:ascii="Calibri" w:hAnsi="Calibri"/>
              <w:color w:val="0000FF"/>
              <w:sz w:val="24"/>
              <w:szCs w:val="22"/>
              <w:u w:val="single"/>
              <w:lang w:eastAsia="de-DE"/>
            </w:rPr>
            <w:tab/>
          </w:r>
          <w:r>
            <w:rPr>
              <w:rStyle w:val="Verzeichnissprung"/>
              <w:rFonts w:ascii="Calibri" w:hAnsi="Calibri"/>
              <w:b/>
              <w:bCs/>
              <w:i/>
              <w:iCs/>
              <w:color w:val="0000FF"/>
              <w:sz w:val="24"/>
              <w:szCs w:val="24"/>
              <w:u w:val="single"/>
              <w:lang w:eastAsia="de-DE"/>
            </w:rPr>
            <w:t>Kreisverwaltung</w:t>
          </w:r>
          <w:r>
            <w:rPr>
              <w:rStyle w:val="Verzeichnissprung"/>
              <w:rFonts w:ascii="Calibri" w:hAnsi="Calibri"/>
              <w:b/>
              <w:bCs/>
              <w:i/>
              <w:iCs/>
              <w:vanish w:val="false"/>
              <w:color w:val="0000FF"/>
              <w:sz w:val="24"/>
              <w:szCs w:val="24"/>
              <w:u w:val="single"/>
              <w:lang w:eastAsia="de-DE"/>
            </w:rPr>
            <w:tab/>
            <w:t>9</w:t>
          </w:r>
        </w:p>
        <w:p>
          <w:pPr>
            <w:pStyle w:val="Normal"/>
            <w:tabs>
              <w:tab w:val="clear" w:pos="709"/>
              <w:tab w:val="left" w:pos="440" w:leader="none"/>
              <w:tab w:val="right" w:pos="14562" w:leader="dot"/>
            </w:tabs>
            <w:suppressAutoHyphens w:val="false"/>
            <w:ind w:hanging="567" w:left="567" w:right="113"/>
            <w:rPr>
              <w:rFonts w:ascii="Calibri" w:hAnsi="Calibri"/>
              <w:sz w:val="22"/>
              <w:szCs w:val="22"/>
              <w:lang w:eastAsia="de-DE"/>
            </w:rPr>
          </w:pPr>
          <w:r>
            <w:fldChar w:fldCharType="begin"/>
          </w:r>
          <w:r>
            <w:rPr>
              <w:rStyle w:val="Verzeichnissprung"/>
              <w:sz w:val="24"/>
              <w:i/>
              <w:u w:val="single"/>
              <w:b/>
              <w:szCs w:val="24"/>
              <w:iCs/>
              <w:bCs/>
              <w:rFonts w:ascii="Calibri" w:hAnsi="Calibri"/>
              <w:color w:val="0000FF"/>
              <w:lang w:eastAsia="de-DE"/>
            </w:rPr>
            <w:instrText xml:space="preserve"> HYPERLINK "../../../v.juengling/AppData/Roaming/regisafe/Storage/59/2024-06-26_Abw%C3%A4gungstabelle.docx" \l "_Toc122069590"</w:instrText>
          </w:r>
          <w:r>
            <w:rPr>
              <w:rStyle w:val="Verzeichnissprung"/>
              <w:sz w:val="24"/>
              <w:i/>
              <w:u w:val="single"/>
              <w:b/>
              <w:szCs w:val="24"/>
              <w:iCs/>
              <w:bCs/>
              <w:rFonts w:ascii="Calibri" w:hAnsi="Calibri"/>
              <w:color w:val="0000FF"/>
              <w:lang w:eastAsia="de-DE"/>
            </w:rPr>
            <w:fldChar w:fldCharType="separate"/>
          </w:r>
          <w:r>
            <w:rPr>
              <w:rStyle w:val="Verzeichnissprung"/>
              <w:rFonts w:ascii="Calibri" w:hAnsi="Calibri"/>
              <w:b/>
              <w:bCs/>
              <w:i/>
              <w:iCs/>
              <w:color w:val="0000FF"/>
              <w:sz w:val="24"/>
              <w:szCs w:val="24"/>
              <w:u w:val="single"/>
              <w:lang w:eastAsia="de-DE"/>
            </w:rPr>
            <w:t>30</w:t>
          </w:r>
          <w:r>
            <w:rPr>
              <w:rStyle w:val="Verzeichnissprung"/>
              <w:sz w:val="24"/>
              <w:i/>
              <w:u w:val="single"/>
              <w:b/>
              <w:szCs w:val="24"/>
              <w:iCs/>
              <w:bCs/>
              <w:rFonts w:ascii="Calibri" w:hAnsi="Calibri"/>
              <w:color w:val="0000FF"/>
              <w:lang w:eastAsia="de-DE"/>
            </w:rPr>
            <w:fldChar w:fldCharType="end"/>
          </w:r>
          <w:r>
            <w:rPr>
              <w:rStyle w:val="Verzeichnissprung"/>
              <w:rFonts w:ascii="Calibri" w:hAnsi="Calibri"/>
              <w:color w:val="0000FF"/>
              <w:sz w:val="24"/>
              <w:szCs w:val="22"/>
              <w:u w:val="single"/>
              <w:lang w:eastAsia="de-DE"/>
            </w:rPr>
            <w:tab/>
          </w:r>
          <w:r>
            <w:rPr>
              <w:rStyle w:val="Verzeichnissprung"/>
              <w:rFonts w:ascii="Calibri" w:hAnsi="Calibri"/>
              <w:b/>
              <w:bCs/>
              <w:i/>
              <w:iCs/>
              <w:color w:val="0000FF"/>
              <w:sz w:val="24"/>
              <w:szCs w:val="24"/>
              <w:u w:val="single"/>
              <w:lang w:eastAsia="de-DE"/>
            </w:rPr>
            <w:t>Landesamt für Geologie und Bergbau Rheinland-Pfalz</w:t>
          </w:r>
          <w:r>
            <w:rPr>
              <w:rStyle w:val="Verzeichnissprung"/>
              <w:rFonts w:ascii="Calibri" w:hAnsi="Calibri"/>
              <w:b/>
              <w:bCs/>
              <w:i/>
              <w:iCs/>
              <w:vanish w:val="false"/>
              <w:color w:val="0000FF"/>
              <w:sz w:val="24"/>
              <w:szCs w:val="24"/>
              <w:u w:val="single"/>
              <w:lang w:eastAsia="de-DE"/>
            </w:rPr>
            <w:tab/>
            <w:t>13</w:t>
          </w:r>
        </w:p>
        <w:p>
          <w:pPr>
            <w:pStyle w:val="Normal"/>
            <w:tabs>
              <w:tab w:val="clear" w:pos="709"/>
              <w:tab w:val="left" w:pos="440" w:leader="none"/>
              <w:tab w:val="right" w:pos="14562" w:leader="dot"/>
            </w:tabs>
            <w:suppressAutoHyphens w:val="false"/>
            <w:ind w:hanging="567" w:left="567" w:right="113"/>
            <w:rPr>
              <w:rFonts w:ascii="Calibri" w:hAnsi="Calibri"/>
              <w:sz w:val="22"/>
              <w:szCs w:val="22"/>
              <w:lang w:eastAsia="de-DE"/>
            </w:rPr>
          </w:pPr>
          <w:r>
            <w:fldChar w:fldCharType="begin"/>
          </w:r>
          <w:r>
            <w:rPr>
              <w:rStyle w:val="Verzeichnissprung"/>
              <w:sz w:val="24"/>
              <w:i/>
              <w:u w:val="single"/>
              <w:b/>
              <w:szCs w:val="24"/>
              <w:iCs/>
              <w:bCs/>
              <w:rFonts w:ascii="Calibri" w:hAnsi="Calibri"/>
              <w:color w:val="0000FF"/>
              <w:lang w:eastAsia="de-DE"/>
            </w:rPr>
            <w:instrText xml:space="preserve"> HYPERLINK "../../../v.juengling/AppData/Roaming/regisafe/Storage/59/2024-06-26_Abw%C3%A4gungstabelle.docx" \l "_Toc122069591"</w:instrText>
          </w:r>
          <w:r>
            <w:rPr>
              <w:rStyle w:val="Verzeichnissprung"/>
              <w:sz w:val="24"/>
              <w:i/>
              <w:u w:val="single"/>
              <w:b/>
              <w:szCs w:val="24"/>
              <w:iCs/>
              <w:bCs/>
              <w:rFonts w:ascii="Calibri" w:hAnsi="Calibri"/>
              <w:color w:val="0000FF"/>
              <w:lang w:eastAsia="de-DE"/>
            </w:rPr>
            <w:fldChar w:fldCharType="separate"/>
          </w:r>
          <w:r>
            <w:rPr>
              <w:rStyle w:val="Verzeichnissprung"/>
              <w:rFonts w:ascii="Calibri" w:hAnsi="Calibri"/>
              <w:b/>
              <w:bCs/>
              <w:i/>
              <w:iCs/>
              <w:color w:val="0000FF"/>
              <w:sz w:val="24"/>
              <w:szCs w:val="24"/>
              <w:u w:val="single"/>
              <w:lang w:eastAsia="de-DE"/>
            </w:rPr>
            <w:t>32</w:t>
          </w:r>
          <w:r>
            <w:rPr>
              <w:rStyle w:val="Verzeichnissprung"/>
              <w:sz w:val="24"/>
              <w:i/>
              <w:u w:val="single"/>
              <w:b/>
              <w:szCs w:val="24"/>
              <w:iCs/>
              <w:bCs/>
              <w:rFonts w:ascii="Calibri" w:hAnsi="Calibri"/>
              <w:color w:val="0000FF"/>
              <w:lang w:eastAsia="de-DE"/>
            </w:rPr>
            <w:fldChar w:fldCharType="end"/>
          </w:r>
          <w:r>
            <w:rPr>
              <w:rStyle w:val="Verzeichnissprung"/>
              <w:rFonts w:ascii="Calibri" w:hAnsi="Calibri"/>
              <w:color w:val="0000FF"/>
              <w:sz w:val="24"/>
              <w:szCs w:val="22"/>
              <w:u w:val="single"/>
              <w:lang w:eastAsia="de-DE"/>
            </w:rPr>
            <w:tab/>
          </w:r>
          <w:r>
            <w:rPr>
              <w:rStyle w:val="Verzeichnissprung"/>
              <w:rFonts w:ascii="Calibri" w:hAnsi="Calibri"/>
              <w:b/>
              <w:bCs/>
              <w:i/>
              <w:iCs/>
              <w:color w:val="0000FF"/>
              <w:sz w:val="24"/>
              <w:szCs w:val="24"/>
              <w:u w:val="single"/>
              <w:lang w:eastAsia="de-DE"/>
            </w:rPr>
            <w:t>Landesbetrieb Liegenschafts- und Baubetreuung Niederlassung Trier</w:t>
          </w:r>
          <w:r>
            <w:rPr>
              <w:rStyle w:val="Verzeichnissprung"/>
              <w:rFonts w:ascii="Calibri" w:hAnsi="Calibri"/>
              <w:b/>
              <w:bCs/>
              <w:i/>
              <w:iCs/>
              <w:vanish w:val="false"/>
              <w:color w:val="0000FF"/>
              <w:sz w:val="24"/>
              <w:szCs w:val="24"/>
              <w:u w:val="single"/>
              <w:lang w:eastAsia="de-DE"/>
            </w:rPr>
            <w:tab/>
            <w:t>14</w:t>
          </w:r>
        </w:p>
        <w:p>
          <w:pPr>
            <w:pStyle w:val="Normal"/>
            <w:tabs>
              <w:tab w:val="clear" w:pos="709"/>
              <w:tab w:val="left" w:pos="440" w:leader="none"/>
              <w:tab w:val="right" w:pos="14562" w:leader="dot"/>
            </w:tabs>
            <w:suppressAutoHyphens w:val="false"/>
            <w:ind w:hanging="567" w:left="567" w:right="113"/>
            <w:rPr>
              <w:rFonts w:ascii="Calibri" w:hAnsi="Calibri"/>
              <w:sz w:val="22"/>
              <w:szCs w:val="22"/>
              <w:lang w:eastAsia="de-DE"/>
            </w:rPr>
          </w:pPr>
          <w:r>
            <w:fldChar w:fldCharType="begin"/>
          </w:r>
          <w:r>
            <w:rPr>
              <w:rStyle w:val="Verzeichnissprung"/>
              <w:sz w:val="24"/>
              <w:i/>
              <w:u w:val="single"/>
              <w:b/>
              <w:szCs w:val="24"/>
              <w:iCs/>
              <w:bCs/>
              <w:rFonts w:ascii="Calibri" w:hAnsi="Calibri"/>
              <w:color w:val="0000FF"/>
              <w:lang w:eastAsia="de-DE"/>
            </w:rPr>
            <w:instrText xml:space="preserve"> HYPERLINK "../../../v.juengling/AppData/Roaming/regisafe/Storage/59/2024-06-26_Abw%C3%A4gungstabelle.docx" \l "_Toc122069592"</w:instrText>
          </w:r>
          <w:r>
            <w:rPr>
              <w:rStyle w:val="Verzeichnissprung"/>
              <w:sz w:val="24"/>
              <w:i/>
              <w:u w:val="single"/>
              <w:b/>
              <w:szCs w:val="24"/>
              <w:iCs/>
              <w:bCs/>
              <w:rFonts w:ascii="Calibri" w:hAnsi="Calibri"/>
              <w:color w:val="0000FF"/>
              <w:lang w:eastAsia="de-DE"/>
            </w:rPr>
            <w:fldChar w:fldCharType="separate"/>
          </w:r>
          <w:r>
            <w:rPr>
              <w:rStyle w:val="Verzeichnissprung"/>
              <w:rFonts w:ascii="Calibri" w:hAnsi="Calibri"/>
              <w:b/>
              <w:bCs/>
              <w:i/>
              <w:iCs/>
              <w:color w:val="0000FF"/>
              <w:sz w:val="24"/>
              <w:szCs w:val="24"/>
              <w:u w:val="single"/>
              <w:lang w:eastAsia="de-DE"/>
            </w:rPr>
            <w:t>36</w:t>
          </w:r>
          <w:r>
            <w:rPr>
              <w:rStyle w:val="Verzeichnissprung"/>
              <w:sz w:val="24"/>
              <w:i/>
              <w:u w:val="single"/>
              <w:b/>
              <w:szCs w:val="24"/>
              <w:iCs/>
              <w:bCs/>
              <w:rFonts w:ascii="Calibri" w:hAnsi="Calibri"/>
              <w:color w:val="0000FF"/>
              <w:lang w:eastAsia="de-DE"/>
            </w:rPr>
            <w:fldChar w:fldCharType="end"/>
          </w:r>
          <w:r>
            <w:rPr>
              <w:rStyle w:val="Verzeichnissprung"/>
              <w:rFonts w:ascii="Calibri" w:hAnsi="Calibri"/>
              <w:color w:val="0000FF"/>
              <w:sz w:val="24"/>
              <w:szCs w:val="22"/>
              <w:u w:val="single"/>
              <w:lang w:eastAsia="de-DE"/>
            </w:rPr>
            <w:tab/>
          </w:r>
          <w:r>
            <w:rPr>
              <w:rStyle w:val="Verzeichnissprung"/>
              <w:rFonts w:ascii="Calibri" w:hAnsi="Calibri"/>
              <w:b/>
              <w:bCs/>
              <w:i/>
              <w:iCs/>
              <w:color w:val="0000FF"/>
              <w:sz w:val="24"/>
              <w:szCs w:val="24"/>
              <w:u w:val="single"/>
              <w:lang w:eastAsia="de-DE"/>
            </w:rPr>
            <w:t>Landwirtschaftskammer Rheinland-Pfalz, Außenstelle Trier</w:t>
          </w:r>
          <w:r>
            <w:rPr>
              <w:rStyle w:val="Verzeichnissprung"/>
              <w:rFonts w:ascii="Calibri" w:hAnsi="Calibri"/>
              <w:b/>
              <w:bCs/>
              <w:i/>
              <w:iCs/>
              <w:vanish w:val="false"/>
              <w:color w:val="0000FF"/>
              <w:sz w:val="24"/>
              <w:szCs w:val="24"/>
              <w:u w:val="single"/>
              <w:lang w:eastAsia="de-DE"/>
            </w:rPr>
            <w:tab/>
            <w:t>14</w:t>
          </w:r>
        </w:p>
        <w:p>
          <w:pPr>
            <w:pStyle w:val="Normal"/>
            <w:tabs>
              <w:tab w:val="clear" w:pos="709"/>
              <w:tab w:val="left" w:pos="440" w:leader="none"/>
              <w:tab w:val="right" w:pos="14562" w:leader="dot"/>
            </w:tabs>
            <w:suppressAutoHyphens w:val="false"/>
            <w:ind w:hanging="567" w:left="567" w:right="113"/>
            <w:rPr>
              <w:rFonts w:ascii="Calibri" w:hAnsi="Calibri"/>
              <w:sz w:val="22"/>
              <w:szCs w:val="22"/>
              <w:lang w:eastAsia="de-DE"/>
            </w:rPr>
          </w:pPr>
          <w:r>
            <w:fldChar w:fldCharType="begin"/>
          </w:r>
          <w:r>
            <w:rPr>
              <w:rStyle w:val="Verzeichnissprung"/>
              <w:sz w:val="24"/>
              <w:i/>
              <w:u w:val="single"/>
              <w:b/>
              <w:szCs w:val="24"/>
              <w:iCs/>
              <w:bCs/>
              <w:rFonts w:ascii="Calibri" w:hAnsi="Calibri"/>
              <w:color w:val="0000FF"/>
              <w:lang w:eastAsia="de-DE"/>
            </w:rPr>
            <w:instrText xml:space="preserve"> HYPERLINK "../../../v.juengling/AppData/Roaming/regisafe/Storage/59/2024-06-26_Abw%C3%A4gungstabelle.docx" \l "_Toc122069593"</w:instrText>
          </w:r>
          <w:r>
            <w:rPr>
              <w:rStyle w:val="Verzeichnissprung"/>
              <w:sz w:val="24"/>
              <w:i/>
              <w:u w:val="single"/>
              <w:b/>
              <w:szCs w:val="24"/>
              <w:iCs/>
              <w:bCs/>
              <w:rFonts w:ascii="Calibri" w:hAnsi="Calibri"/>
              <w:color w:val="0000FF"/>
              <w:lang w:eastAsia="de-DE"/>
            </w:rPr>
            <w:fldChar w:fldCharType="separate"/>
          </w:r>
          <w:r>
            <w:rPr>
              <w:rStyle w:val="Verzeichnissprung"/>
              <w:rFonts w:ascii="Calibri" w:hAnsi="Calibri"/>
              <w:b/>
              <w:bCs/>
              <w:i/>
              <w:iCs/>
              <w:color w:val="0000FF"/>
              <w:sz w:val="24"/>
              <w:szCs w:val="24"/>
              <w:u w:val="single"/>
              <w:lang w:eastAsia="de-DE"/>
            </w:rPr>
            <w:t>44</w:t>
          </w:r>
          <w:r>
            <w:rPr>
              <w:rStyle w:val="Verzeichnissprung"/>
              <w:sz w:val="24"/>
              <w:i/>
              <w:u w:val="single"/>
              <w:b/>
              <w:szCs w:val="24"/>
              <w:iCs/>
              <w:bCs/>
              <w:rFonts w:ascii="Calibri" w:hAnsi="Calibri"/>
              <w:color w:val="0000FF"/>
              <w:lang w:eastAsia="de-DE"/>
            </w:rPr>
            <w:fldChar w:fldCharType="end"/>
          </w:r>
          <w:r>
            <w:rPr>
              <w:rStyle w:val="Verzeichnissprung"/>
              <w:rFonts w:ascii="Calibri" w:hAnsi="Calibri"/>
              <w:color w:val="0000FF"/>
              <w:sz w:val="24"/>
              <w:szCs w:val="22"/>
              <w:u w:val="single"/>
              <w:lang w:eastAsia="de-DE"/>
            </w:rPr>
            <w:tab/>
          </w:r>
          <w:r>
            <w:rPr>
              <w:rStyle w:val="Verzeichnissprung"/>
              <w:rFonts w:ascii="Calibri" w:hAnsi="Calibri"/>
              <w:b/>
              <w:bCs/>
              <w:i/>
              <w:iCs/>
              <w:color w:val="0000FF"/>
              <w:sz w:val="24"/>
              <w:szCs w:val="24"/>
              <w:u w:val="single"/>
              <w:lang w:eastAsia="de-DE"/>
            </w:rPr>
            <w:t>Struktur- und Genehmigungsdirektion Nord Regionalstelle Wasserwirtschaft, Abfallwirtschaft, Bodenschutz</w:t>
          </w:r>
          <w:r>
            <w:rPr>
              <w:rStyle w:val="Verzeichnissprung"/>
              <w:rFonts w:ascii="Calibri" w:hAnsi="Calibri"/>
              <w:b/>
              <w:bCs/>
              <w:i/>
              <w:iCs/>
              <w:vanish w:val="false"/>
              <w:color w:val="0000FF"/>
              <w:sz w:val="24"/>
              <w:szCs w:val="24"/>
              <w:u w:val="single"/>
              <w:lang w:eastAsia="de-DE"/>
            </w:rPr>
            <w:tab/>
            <w:t>15</w:t>
          </w:r>
        </w:p>
        <w:p>
          <w:pPr>
            <w:pStyle w:val="Normal"/>
            <w:tabs>
              <w:tab w:val="clear" w:pos="709"/>
              <w:tab w:val="left" w:pos="440" w:leader="none"/>
              <w:tab w:val="right" w:pos="14562" w:leader="dot"/>
            </w:tabs>
            <w:suppressAutoHyphens w:val="false"/>
            <w:ind w:hanging="567" w:left="567" w:right="113"/>
            <w:rPr>
              <w:rFonts w:ascii="Calibri" w:hAnsi="Calibri"/>
              <w:sz w:val="22"/>
              <w:szCs w:val="22"/>
              <w:lang w:eastAsia="de-DE"/>
            </w:rPr>
          </w:pPr>
          <w:r>
            <w:fldChar w:fldCharType="begin"/>
          </w:r>
          <w:r>
            <w:rPr>
              <w:rStyle w:val="Verzeichnissprung"/>
              <w:sz w:val="24"/>
              <w:i/>
              <w:u w:val="single"/>
              <w:b/>
              <w:szCs w:val="24"/>
              <w:iCs/>
              <w:bCs/>
              <w:rFonts w:ascii="Calibri" w:hAnsi="Calibri"/>
              <w:color w:val="0000FF"/>
              <w:lang w:eastAsia="de-DE"/>
            </w:rPr>
            <w:instrText xml:space="preserve"> HYPERLINK "../../../v.juengling/AppData/Roaming/regisafe/Storage/59/2024-06-26_Abw%C3%A4gungstabelle.docx" \l "_Toc122069594"</w:instrText>
          </w:r>
          <w:r>
            <w:rPr>
              <w:rStyle w:val="Verzeichnissprung"/>
              <w:sz w:val="24"/>
              <w:i/>
              <w:u w:val="single"/>
              <w:b/>
              <w:szCs w:val="24"/>
              <w:iCs/>
              <w:bCs/>
              <w:rFonts w:ascii="Calibri" w:hAnsi="Calibri"/>
              <w:color w:val="0000FF"/>
              <w:lang w:eastAsia="de-DE"/>
            </w:rPr>
            <w:fldChar w:fldCharType="separate"/>
          </w:r>
          <w:r>
            <w:rPr>
              <w:rStyle w:val="Verzeichnissprung"/>
              <w:rFonts w:ascii="Calibri" w:hAnsi="Calibri"/>
              <w:b/>
              <w:bCs/>
              <w:i/>
              <w:iCs/>
              <w:color w:val="0000FF"/>
              <w:sz w:val="24"/>
              <w:szCs w:val="24"/>
              <w:u w:val="single"/>
              <w:lang w:eastAsia="de-DE"/>
            </w:rPr>
            <w:t>45</w:t>
          </w:r>
          <w:r>
            <w:rPr>
              <w:rStyle w:val="Verzeichnissprung"/>
              <w:sz w:val="24"/>
              <w:i/>
              <w:u w:val="single"/>
              <w:b/>
              <w:szCs w:val="24"/>
              <w:iCs/>
              <w:bCs/>
              <w:rFonts w:ascii="Calibri" w:hAnsi="Calibri"/>
              <w:color w:val="0000FF"/>
              <w:lang w:eastAsia="de-DE"/>
            </w:rPr>
            <w:fldChar w:fldCharType="end"/>
          </w:r>
          <w:r>
            <w:rPr>
              <w:rStyle w:val="Verzeichnissprung"/>
              <w:rFonts w:ascii="Calibri" w:hAnsi="Calibri"/>
              <w:color w:val="0000FF"/>
              <w:sz w:val="24"/>
              <w:szCs w:val="22"/>
              <w:u w:val="single"/>
              <w:lang w:eastAsia="de-DE"/>
            </w:rPr>
            <w:tab/>
          </w:r>
          <w:r>
            <w:rPr>
              <w:rStyle w:val="Verzeichnissprung"/>
              <w:rFonts w:ascii="Calibri" w:hAnsi="Calibri"/>
              <w:b/>
              <w:bCs/>
              <w:i/>
              <w:iCs/>
              <w:color w:val="0000FF"/>
              <w:sz w:val="24"/>
              <w:szCs w:val="24"/>
              <w:u w:val="single"/>
              <w:lang w:eastAsia="de-DE"/>
            </w:rPr>
            <w:t>Struktur- und Genehmigungsdirektion Nord Regionalstelle Gewerbeaufsicht</w:t>
          </w:r>
          <w:r>
            <w:rPr>
              <w:rStyle w:val="Verzeichnissprung"/>
              <w:rFonts w:ascii="Calibri" w:hAnsi="Calibri"/>
              <w:b/>
              <w:bCs/>
              <w:i/>
              <w:iCs/>
              <w:vanish w:val="false"/>
              <w:color w:val="0000FF"/>
              <w:sz w:val="24"/>
              <w:szCs w:val="24"/>
              <w:u w:val="single"/>
              <w:lang w:eastAsia="de-DE"/>
            </w:rPr>
            <w:tab/>
            <w:t>21</w:t>
          </w:r>
        </w:p>
        <w:p>
          <w:pPr>
            <w:pStyle w:val="Normal"/>
            <w:tabs>
              <w:tab w:val="clear" w:pos="709"/>
              <w:tab w:val="left" w:pos="440" w:leader="none"/>
              <w:tab w:val="right" w:pos="14562" w:leader="dot"/>
            </w:tabs>
            <w:suppressAutoHyphens w:val="false"/>
            <w:ind w:hanging="567" w:left="567" w:right="113"/>
            <w:rPr>
              <w:rFonts w:ascii="Calibri" w:hAnsi="Calibri"/>
              <w:sz w:val="22"/>
              <w:szCs w:val="22"/>
              <w:lang w:eastAsia="de-DE"/>
            </w:rPr>
          </w:pPr>
          <w:r>
            <w:fldChar w:fldCharType="begin"/>
          </w:r>
          <w:r>
            <w:rPr>
              <w:rStyle w:val="Verzeichnissprung"/>
              <w:sz w:val="24"/>
              <w:i/>
              <w:u w:val="single"/>
              <w:b/>
              <w:szCs w:val="24"/>
              <w:iCs/>
              <w:bCs/>
              <w:rFonts w:ascii="Calibri" w:hAnsi="Calibri"/>
              <w:color w:val="0000FF"/>
              <w:lang w:eastAsia="de-DE"/>
            </w:rPr>
            <w:instrText xml:space="preserve"> HYPERLINK "../../../v.juengling/AppData/Roaming/regisafe/Storage/59/2024-06-26_Abw%C3%A4gungstabelle.docx" \l "_Toc122069595"</w:instrText>
          </w:r>
          <w:r>
            <w:rPr>
              <w:rStyle w:val="Verzeichnissprung"/>
              <w:sz w:val="24"/>
              <w:i/>
              <w:u w:val="single"/>
              <w:b/>
              <w:szCs w:val="24"/>
              <w:iCs/>
              <w:bCs/>
              <w:rFonts w:ascii="Calibri" w:hAnsi="Calibri"/>
              <w:color w:val="0000FF"/>
              <w:lang w:eastAsia="de-DE"/>
            </w:rPr>
            <w:fldChar w:fldCharType="separate"/>
          </w:r>
          <w:r>
            <w:rPr>
              <w:rStyle w:val="Verzeichnissprung"/>
              <w:rFonts w:ascii="Calibri" w:hAnsi="Calibri"/>
              <w:b/>
              <w:bCs/>
              <w:i/>
              <w:iCs/>
              <w:color w:val="0000FF"/>
              <w:sz w:val="24"/>
              <w:szCs w:val="24"/>
              <w:u w:val="single"/>
              <w:lang w:eastAsia="de-DE"/>
            </w:rPr>
            <w:t>49</w:t>
          </w:r>
          <w:r>
            <w:rPr>
              <w:rStyle w:val="Verzeichnissprung"/>
              <w:sz w:val="24"/>
              <w:i/>
              <w:u w:val="single"/>
              <w:b/>
              <w:szCs w:val="24"/>
              <w:iCs/>
              <w:bCs/>
              <w:rFonts w:ascii="Calibri" w:hAnsi="Calibri"/>
              <w:color w:val="0000FF"/>
              <w:lang w:eastAsia="de-DE"/>
            </w:rPr>
            <w:fldChar w:fldCharType="end"/>
          </w:r>
          <w:r>
            <w:rPr>
              <w:rStyle w:val="Verzeichnissprung"/>
              <w:rFonts w:ascii="Calibri" w:hAnsi="Calibri"/>
              <w:color w:val="0000FF"/>
              <w:sz w:val="24"/>
              <w:szCs w:val="22"/>
              <w:u w:val="single"/>
              <w:lang w:eastAsia="de-DE"/>
            </w:rPr>
            <w:tab/>
          </w:r>
          <w:r>
            <w:rPr>
              <w:rStyle w:val="Verzeichnissprung"/>
              <w:rFonts w:ascii="Calibri" w:hAnsi="Calibri"/>
              <w:b/>
              <w:bCs/>
              <w:i/>
              <w:iCs/>
              <w:color w:val="0000FF"/>
              <w:sz w:val="24"/>
              <w:szCs w:val="24"/>
              <w:u w:val="single"/>
              <w:lang w:eastAsia="de-DE"/>
            </w:rPr>
            <w:t>Verbandsgemeinde Thalfang</w:t>
          </w:r>
          <w:r>
            <w:rPr>
              <w:rStyle w:val="Verzeichnissprung"/>
              <w:rFonts w:ascii="Calibri" w:hAnsi="Calibri"/>
              <w:b/>
              <w:bCs/>
              <w:i/>
              <w:iCs/>
              <w:vanish w:val="false"/>
              <w:color w:val="0000FF"/>
              <w:sz w:val="24"/>
              <w:szCs w:val="24"/>
              <w:u w:val="single"/>
              <w:lang w:eastAsia="de-DE"/>
            </w:rPr>
            <w:tab/>
            <w:t>23</w:t>
          </w:r>
        </w:p>
        <w:p>
          <w:pPr>
            <w:pStyle w:val="Normal"/>
            <w:tabs>
              <w:tab w:val="clear" w:pos="709"/>
              <w:tab w:val="left" w:pos="440" w:leader="none"/>
              <w:tab w:val="right" w:pos="14562" w:leader="dot"/>
            </w:tabs>
            <w:suppressAutoHyphens w:val="false"/>
            <w:ind w:hanging="567" w:left="567" w:right="113"/>
            <w:rPr>
              <w:rFonts w:ascii="Calibri" w:hAnsi="Calibri"/>
              <w:sz w:val="22"/>
              <w:szCs w:val="22"/>
              <w:lang w:eastAsia="de-DE"/>
            </w:rPr>
          </w:pPr>
          <w:r>
            <w:fldChar w:fldCharType="begin"/>
          </w:r>
          <w:r>
            <w:rPr>
              <w:rStyle w:val="Verzeichnissprung"/>
              <w:sz w:val="24"/>
              <w:i/>
              <w:u w:val="single"/>
              <w:b/>
              <w:szCs w:val="24"/>
              <w:iCs/>
              <w:bCs/>
              <w:rFonts w:ascii="Calibri" w:hAnsi="Calibri"/>
              <w:color w:val="0000FF"/>
              <w:lang w:eastAsia="de-DE"/>
            </w:rPr>
            <w:instrText xml:space="preserve"> HYPERLINK "../../../v.juengling/AppData/Roaming/regisafe/Storage/59/2024-06-26_Abw%C3%A4gungstabelle.docx" \l "_Toc122069596"</w:instrText>
          </w:r>
          <w:r>
            <w:rPr>
              <w:rStyle w:val="Verzeichnissprung"/>
              <w:sz w:val="24"/>
              <w:i/>
              <w:u w:val="single"/>
              <w:b/>
              <w:szCs w:val="24"/>
              <w:iCs/>
              <w:bCs/>
              <w:rFonts w:ascii="Calibri" w:hAnsi="Calibri"/>
              <w:color w:val="0000FF"/>
              <w:lang w:eastAsia="de-DE"/>
            </w:rPr>
            <w:fldChar w:fldCharType="separate"/>
          </w:r>
          <w:r>
            <w:rPr>
              <w:rStyle w:val="Verzeichnissprung"/>
              <w:rFonts w:ascii="Calibri" w:hAnsi="Calibri"/>
              <w:b/>
              <w:bCs/>
              <w:i/>
              <w:iCs/>
              <w:color w:val="0000FF"/>
              <w:sz w:val="24"/>
              <w:szCs w:val="24"/>
              <w:u w:val="single"/>
              <w:lang w:eastAsia="de-DE"/>
            </w:rPr>
            <w:t>50</w:t>
          </w:r>
          <w:r>
            <w:rPr>
              <w:rStyle w:val="Verzeichnissprung"/>
              <w:sz w:val="24"/>
              <w:i/>
              <w:u w:val="single"/>
              <w:b/>
              <w:szCs w:val="24"/>
              <w:iCs/>
              <w:bCs/>
              <w:rFonts w:ascii="Calibri" w:hAnsi="Calibri"/>
              <w:color w:val="0000FF"/>
              <w:lang w:eastAsia="de-DE"/>
            </w:rPr>
            <w:fldChar w:fldCharType="end"/>
          </w:r>
          <w:r>
            <w:rPr>
              <w:rStyle w:val="Verzeichnissprung"/>
              <w:rFonts w:ascii="Calibri" w:hAnsi="Calibri"/>
              <w:color w:val="0000FF"/>
              <w:sz w:val="24"/>
              <w:szCs w:val="22"/>
              <w:u w:val="single"/>
              <w:lang w:eastAsia="de-DE"/>
            </w:rPr>
            <w:tab/>
          </w:r>
          <w:r>
            <w:rPr>
              <w:rStyle w:val="Verzeichnissprung"/>
              <w:rFonts w:ascii="Calibri" w:hAnsi="Calibri"/>
              <w:b/>
              <w:bCs/>
              <w:i/>
              <w:iCs/>
              <w:color w:val="0000FF"/>
              <w:sz w:val="24"/>
              <w:szCs w:val="24"/>
              <w:u w:val="single"/>
              <w:lang w:eastAsia="de-DE"/>
            </w:rPr>
            <w:t>Verbandsgemeinde Schweich an der Römischen Weinstraße</w:t>
          </w:r>
          <w:r>
            <w:rPr>
              <w:rStyle w:val="Verzeichnissprung"/>
              <w:rFonts w:ascii="Calibri" w:hAnsi="Calibri"/>
              <w:b/>
              <w:bCs/>
              <w:i/>
              <w:iCs/>
              <w:vanish w:val="false"/>
              <w:color w:val="0000FF"/>
              <w:sz w:val="24"/>
              <w:szCs w:val="24"/>
              <w:u w:val="single"/>
              <w:lang w:eastAsia="de-DE"/>
            </w:rPr>
            <w:tab/>
            <w:t>23</w:t>
          </w:r>
        </w:p>
        <w:p>
          <w:pPr>
            <w:pStyle w:val="Normal"/>
            <w:tabs>
              <w:tab w:val="clear" w:pos="709"/>
              <w:tab w:val="left" w:pos="440" w:leader="none"/>
              <w:tab w:val="right" w:pos="14562" w:leader="dot"/>
            </w:tabs>
            <w:suppressAutoHyphens w:val="false"/>
            <w:ind w:hanging="567" w:left="567" w:right="113"/>
            <w:rPr>
              <w:rFonts w:ascii="Calibri" w:hAnsi="Calibri"/>
              <w:sz w:val="22"/>
              <w:szCs w:val="22"/>
              <w:lang w:eastAsia="de-DE"/>
            </w:rPr>
          </w:pPr>
          <w:r>
            <w:fldChar w:fldCharType="begin"/>
          </w:r>
          <w:r>
            <w:rPr>
              <w:rStyle w:val="Verzeichnissprung"/>
              <w:sz w:val="24"/>
              <w:i/>
              <w:u w:val="single"/>
              <w:b/>
              <w:szCs w:val="24"/>
              <w:iCs/>
              <w:bCs/>
              <w:rFonts w:ascii="Calibri" w:hAnsi="Calibri"/>
              <w:color w:val="0000FF"/>
              <w:lang w:eastAsia="de-DE"/>
            </w:rPr>
            <w:instrText xml:space="preserve"> HYPERLINK "../../../v.juengling/AppData/Roaming/regisafe/Storage/59/2024-06-26_Abw%C3%A4gungstabelle.docx" \l "_Toc122069597"</w:instrText>
          </w:r>
          <w:r>
            <w:rPr>
              <w:rStyle w:val="Verzeichnissprung"/>
              <w:sz w:val="24"/>
              <w:i/>
              <w:u w:val="single"/>
              <w:b/>
              <w:szCs w:val="24"/>
              <w:iCs/>
              <w:bCs/>
              <w:rFonts w:ascii="Calibri" w:hAnsi="Calibri"/>
              <w:color w:val="0000FF"/>
              <w:lang w:eastAsia="de-DE"/>
            </w:rPr>
            <w:fldChar w:fldCharType="separate"/>
          </w:r>
          <w:r>
            <w:rPr>
              <w:rStyle w:val="Verzeichnissprung"/>
              <w:rFonts w:ascii="Calibri" w:hAnsi="Calibri"/>
              <w:b/>
              <w:bCs/>
              <w:i/>
              <w:iCs/>
              <w:color w:val="0000FF"/>
              <w:sz w:val="24"/>
              <w:szCs w:val="24"/>
              <w:u w:val="single"/>
              <w:lang w:eastAsia="de-DE"/>
            </w:rPr>
            <w:t>52</w:t>
          </w:r>
          <w:r>
            <w:rPr>
              <w:rStyle w:val="Verzeichnissprung"/>
              <w:sz w:val="24"/>
              <w:i/>
              <w:u w:val="single"/>
              <w:b/>
              <w:szCs w:val="24"/>
              <w:iCs/>
              <w:bCs/>
              <w:rFonts w:ascii="Calibri" w:hAnsi="Calibri"/>
              <w:color w:val="0000FF"/>
              <w:lang w:eastAsia="de-DE"/>
            </w:rPr>
            <w:fldChar w:fldCharType="end"/>
          </w:r>
          <w:r>
            <w:rPr>
              <w:rStyle w:val="Verzeichnissprung"/>
              <w:rFonts w:ascii="Calibri" w:hAnsi="Calibri"/>
              <w:color w:val="0000FF"/>
              <w:sz w:val="24"/>
              <w:szCs w:val="22"/>
              <w:u w:val="single"/>
              <w:lang w:eastAsia="de-DE"/>
            </w:rPr>
            <w:tab/>
          </w:r>
          <w:r>
            <w:rPr>
              <w:rStyle w:val="Verzeichnissprung"/>
              <w:rFonts w:ascii="Calibri" w:hAnsi="Calibri"/>
              <w:b/>
              <w:bCs/>
              <w:i/>
              <w:iCs/>
              <w:color w:val="0000FF"/>
              <w:sz w:val="24"/>
              <w:szCs w:val="24"/>
              <w:u w:val="single"/>
              <w:lang w:eastAsia="de-DE"/>
            </w:rPr>
            <w:t>Verbandsgemeinde Traben-Trabach</w:t>
          </w:r>
          <w:r>
            <w:rPr>
              <w:rStyle w:val="Verzeichnissprung"/>
              <w:rFonts w:ascii="Calibri" w:hAnsi="Calibri"/>
              <w:b/>
              <w:bCs/>
              <w:i/>
              <w:iCs/>
              <w:vanish w:val="false"/>
              <w:color w:val="0000FF"/>
              <w:sz w:val="24"/>
              <w:szCs w:val="24"/>
              <w:u w:val="single"/>
              <w:lang w:eastAsia="de-DE"/>
            </w:rPr>
            <w:tab/>
            <w:t>23</w:t>
          </w:r>
        </w:p>
        <w:p>
          <w:pPr>
            <w:pStyle w:val="Normal"/>
            <w:tabs>
              <w:tab w:val="clear" w:pos="709"/>
              <w:tab w:val="left" w:pos="440" w:leader="none"/>
              <w:tab w:val="right" w:pos="14562" w:leader="dot"/>
            </w:tabs>
            <w:suppressAutoHyphens w:val="false"/>
            <w:ind w:hanging="567" w:left="567" w:right="113"/>
            <w:rPr>
              <w:rFonts w:ascii="Calibri" w:hAnsi="Calibri"/>
              <w:sz w:val="22"/>
              <w:szCs w:val="22"/>
              <w:lang w:eastAsia="de-DE"/>
            </w:rPr>
          </w:pPr>
          <w:r>
            <w:fldChar w:fldCharType="begin"/>
          </w:r>
          <w:r>
            <w:rPr>
              <w:rStyle w:val="Verzeichnissprung"/>
              <w:sz w:val="24"/>
              <w:i/>
              <w:u w:val="single"/>
              <w:b/>
              <w:szCs w:val="24"/>
              <w:iCs/>
              <w:bCs/>
              <w:rFonts w:ascii="Calibri" w:hAnsi="Calibri"/>
              <w:color w:val="0000FF"/>
              <w:lang w:eastAsia="de-DE"/>
            </w:rPr>
            <w:instrText xml:space="preserve"> HYPERLINK "../../../v.juengling/AppData/Roaming/regisafe/Storage/59/2024-06-26_Abw%C3%A4gungstabelle.docx" \l "_Toc122069598"</w:instrText>
          </w:r>
          <w:r>
            <w:rPr>
              <w:rStyle w:val="Verzeichnissprung"/>
              <w:sz w:val="24"/>
              <w:i/>
              <w:u w:val="single"/>
              <w:b/>
              <w:szCs w:val="24"/>
              <w:iCs/>
              <w:bCs/>
              <w:rFonts w:ascii="Calibri" w:hAnsi="Calibri"/>
              <w:color w:val="0000FF"/>
              <w:lang w:eastAsia="de-DE"/>
            </w:rPr>
            <w:fldChar w:fldCharType="separate"/>
          </w:r>
          <w:r>
            <w:rPr>
              <w:rStyle w:val="Verzeichnissprung"/>
              <w:rFonts w:ascii="Calibri" w:hAnsi="Calibri"/>
              <w:b/>
              <w:bCs/>
              <w:i/>
              <w:iCs/>
              <w:color w:val="0000FF"/>
              <w:sz w:val="24"/>
              <w:szCs w:val="24"/>
              <w:u w:val="single"/>
              <w:lang w:eastAsia="de-DE"/>
            </w:rPr>
            <w:t>53</w:t>
          </w:r>
          <w:r>
            <w:rPr>
              <w:rStyle w:val="Verzeichnissprung"/>
              <w:sz w:val="24"/>
              <w:i/>
              <w:u w:val="single"/>
              <w:b/>
              <w:szCs w:val="24"/>
              <w:iCs/>
              <w:bCs/>
              <w:rFonts w:ascii="Calibri" w:hAnsi="Calibri"/>
              <w:color w:val="0000FF"/>
              <w:lang w:eastAsia="de-DE"/>
            </w:rPr>
            <w:fldChar w:fldCharType="end"/>
          </w:r>
          <w:r>
            <w:rPr>
              <w:rStyle w:val="Verzeichnissprung"/>
              <w:rFonts w:ascii="Calibri" w:hAnsi="Calibri"/>
              <w:color w:val="0000FF"/>
              <w:sz w:val="24"/>
              <w:szCs w:val="22"/>
              <w:u w:val="single"/>
              <w:lang w:eastAsia="de-DE"/>
            </w:rPr>
            <w:tab/>
          </w:r>
          <w:r>
            <w:rPr>
              <w:rStyle w:val="Verzeichnissprung"/>
              <w:rFonts w:ascii="Calibri" w:hAnsi="Calibri"/>
              <w:b/>
              <w:bCs/>
              <w:i/>
              <w:iCs/>
              <w:color w:val="0000FF"/>
              <w:sz w:val="24"/>
              <w:szCs w:val="24"/>
              <w:u w:val="single"/>
              <w:lang w:eastAsia="de-DE"/>
            </w:rPr>
            <w:t>Vermessungs- und Katasteramt Westeifel-Mosel</w:t>
          </w:r>
          <w:r>
            <w:rPr>
              <w:rStyle w:val="Verzeichnissprung"/>
              <w:rFonts w:ascii="Calibri" w:hAnsi="Calibri"/>
              <w:b/>
              <w:bCs/>
              <w:i/>
              <w:iCs/>
              <w:vanish w:val="false"/>
              <w:color w:val="0000FF"/>
              <w:sz w:val="24"/>
              <w:szCs w:val="24"/>
              <w:u w:val="single"/>
              <w:lang w:eastAsia="de-DE"/>
            </w:rPr>
            <w:tab/>
            <w:t>23</w:t>
          </w:r>
        </w:p>
        <w:p>
          <w:pPr>
            <w:pStyle w:val="Normal"/>
            <w:tabs>
              <w:tab w:val="clear" w:pos="709"/>
              <w:tab w:val="left" w:pos="440" w:leader="none"/>
              <w:tab w:val="right" w:pos="14562" w:leader="dot"/>
            </w:tabs>
            <w:suppressAutoHyphens w:val="false"/>
            <w:ind w:hanging="567" w:left="567" w:right="113"/>
            <w:rPr>
              <w:rFonts w:ascii="Calibri" w:hAnsi="Calibri"/>
              <w:sz w:val="22"/>
              <w:szCs w:val="22"/>
              <w:lang w:eastAsia="de-DE"/>
            </w:rPr>
          </w:pPr>
          <w:r>
            <w:fldChar w:fldCharType="begin"/>
          </w:r>
          <w:r>
            <w:rPr>
              <w:rStyle w:val="Verzeichnissprung"/>
              <w:sz w:val="24"/>
              <w:i/>
              <w:u w:val="single"/>
              <w:b/>
              <w:szCs w:val="24"/>
              <w:iCs/>
              <w:bCs/>
              <w:rFonts w:ascii="Calibri" w:hAnsi="Calibri"/>
              <w:color w:val="0000FF"/>
              <w:lang w:eastAsia="de-DE"/>
            </w:rPr>
            <w:instrText xml:space="preserve"> HYPERLINK "../../../v.juengling/AppData/Roaming/regisafe/Storage/59/2024-06-26_Abw%C3%A4gungstabelle.docx" \l "_Toc122069599"</w:instrText>
          </w:r>
          <w:r>
            <w:rPr>
              <w:rStyle w:val="Verzeichnissprung"/>
              <w:sz w:val="24"/>
              <w:i/>
              <w:u w:val="single"/>
              <w:b/>
              <w:szCs w:val="24"/>
              <w:iCs/>
              <w:bCs/>
              <w:rFonts w:ascii="Calibri" w:hAnsi="Calibri"/>
              <w:color w:val="0000FF"/>
              <w:lang w:eastAsia="de-DE"/>
            </w:rPr>
            <w:fldChar w:fldCharType="separate"/>
          </w:r>
          <w:r>
            <w:rPr>
              <w:rStyle w:val="Verzeichnissprung"/>
              <w:rFonts w:ascii="Calibri" w:hAnsi="Calibri"/>
              <w:b/>
              <w:bCs/>
              <w:i/>
              <w:iCs/>
              <w:color w:val="0000FF"/>
              <w:sz w:val="24"/>
              <w:szCs w:val="24"/>
              <w:u w:val="single"/>
              <w:lang w:eastAsia="de-DE"/>
            </w:rPr>
            <w:t>54</w:t>
          </w:r>
          <w:r>
            <w:rPr>
              <w:rStyle w:val="Verzeichnissprung"/>
              <w:sz w:val="24"/>
              <w:i/>
              <w:u w:val="single"/>
              <w:b/>
              <w:szCs w:val="24"/>
              <w:iCs/>
              <w:bCs/>
              <w:rFonts w:ascii="Calibri" w:hAnsi="Calibri"/>
              <w:color w:val="0000FF"/>
              <w:lang w:eastAsia="de-DE"/>
            </w:rPr>
            <w:fldChar w:fldCharType="end"/>
          </w:r>
          <w:r>
            <w:rPr>
              <w:rStyle w:val="Verzeichnissprung"/>
              <w:rFonts w:ascii="Calibri" w:hAnsi="Calibri"/>
              <w:color w:val="0000FF"/>
              <w:sz w:val="24"/>
              <w:szCs w:val="22"/>
              <w:u w:val="single"/>
              <w:lang w:eastAsia="de-DE"/>
            </w:rPr>
            <w:tab/>
          </w:r>
          <w:r>
            <w:rPr>
              <w:rStyle w:val="Verzeichnissprung"/>
              <w:rFonts w:ascii="Calibri" w:hAnsi="Calibri"/>
              <w:b/>
              <w:bCs/>
              <w:i/>
              <w:iCs/>
              <w:color w:val="0000FF"/>
              <w:sz w:val="24"/>
              <w:szCs w:val="24"/>
              <w:u w:val="single"/>
              <w:lang w:eastAsia="de-DE"/>
            </w:rPr>
            <w:t>Wasserstraßen- und Schifffahrtsamt Mosel-Saar-Lahn, Standort Trier</w:t>
          </w:r>
          <w:r>
            <w:rPr>
              <w:rStyle w:val="Verzeichnissprung"/>
              <w:rFonts w:ascii="Calibri" w:hAnsi="Calibri"/>
              <w:b/>
              <w:bCs/>
              <w:i/>
              <w:iCs/>
              <w:vanish w:val="false"/>
              <w:color w:val="0000FF"/>
              <w:sz w:val="24"/>
              <w:szCs w:val="24"/>
              <w:u w:val="single"/>
              <w:lang w:eastAsia="de-DE"/>
            </w:rPr>
            <w:tab/>
            <w:t>23</w:t>
          </w:r>
          <w:r>
            <w:rPr>
              <w:rStyle w:val="Verzeichnissprung"/>
              <w:sz w:val="24"/>
              <w:i/>
              <w:u w:val="single"/>
              <w:b/>
              <w:szCs w:val="24"/>
              <w:iCs/>
              <w:bCs/>
              <w:vanish w:val="false"/>
              <w:rFonts w:ascii="Calibri" w:hAnsi="Calibri"/>
              <w:color w:val="0000FF"/>
              <w:lang w:eastAsia="de-DE"/>
            </w:rPr>
            <w:fldChar w:fldCharType="end"/>
          </w:r>
        </w:p>
      </w:sdtContent>
    </w:sdt>
    <w:p>
      <w:pPr>
        <w:pStyle w:val="Normal"/>
        <w:suppressAutoHyphens w:val="false"/>
        <w:ind w:right="113"/>
        <w:jc w:val="both"/>
        <w:rPr>
          <w:rFonts w:ascii="Calibri" w:hAnsi="Calibri"/>
          <w:sz w:val="22"/>
          <w:lang w:eastAsia="de-DE"/>
        </w:rPr>
      </w:pPr>
      <w:r>
        <w:rPr>
          <w:rFonts w:ascii="Calibri" w:hAnsi="Calibri"/>
          <w:sz w:val="22"/>
          <w:lang w:eastAsia="de-DE"/>
        </w:rPr>
      </w:r>
    </w:p>
    <w:p>
      <w:pPr>
        <w:pStyle w:val="Normal"/>
        <w:suppressAutoHyphens w:val="false"/>
        <w:rPr>
          <w:rFonts w:ascii="Calibri" w:hAnsi="Calibri"/>
          <w:sz w:val="22"/>
          <w:highlight w:val="yellow"/>
          <w:lang w:eastAsia="de-DE"/>
        </w:rPr>
      </w:pPr>
      <w:r>
        <w:rPr>
          <w:rFonts w:ascii="Calibri" w:hAnsi="Calibri"/>
          <w:sz w:val="22"/>
          <w:highlight w:val="yellow"/>
          <w:lang w:eastAsia="de-DE"/>
        </w:rPr>
      </w:r>
      <w:r>
        <w:br w:type="page"/>
      </w:r>
    </w:p>
    <w:p>
      <w:pPr>
        <w:pStyle w:val="Normal"/>
        <w:keepNext w:val="true"/>
        <w:numPr>
          <w:ilvl w:val="0"/>
          <w:numId w:val="29"/>
        </w:numPr>
        <w:tabs>
          <w:tab w:val="clear" w:pos="709"/>
          <w:tab w:val="left" w:pos="2694" w:leader="none"/>
          <w:tab w:val="left" w:pos="8505" w:leader="none"/>
        </w:tabs>
        <w:suppressAutoHyphens w:val="false"/>
        <w:spacing w:before="0" w:after="100"/>
        <w:ind w:hanging="432" w:left="858" w:right="-29"/>
        <w:jc w:val="both"/>
        <w:outlineLvl w:val="0"/>
        <w:rPr>
          <w:rFonts w:ascii="Calibri" w:hAnsi="Calibri"/>
          <w:b/>
          <w:sz w:val="22"/>
          <w:lang w:eastAsia="de-DE"/>
        </w:rPr>
      </w:pPr>
      <w:bookmarkStart w:id="2" w:name="_Toc46224896"/>
      <w:bookmarkStart w:id="3" w:name="_Toc122069573"/>
      <w:bookmarkEnd w:id="2"/>
      <w:r>
        <w:rPr>
          <w:rFonts w:ascii="Calibri" w:hAnsi="Calibri"/>
          <w:b/>
          <w:sz w:val="22"/>
          <w:lang w:eastAsia="de-DE"/>
        </w:rPr>
        <w:t>Amprion GmbH</w:t>
      </w:r>
      <w:bookmarkEnd w:id="3"/>
    </w:p>
    <w:tbl>
      <w:tblPr>
        <w:tblW w:w="14454"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206"/>
        <w:gridCol w:w="14247"/>
      </w:tblGrid>
      <w:tr>
        <w:trPr>
          <w:tblHeader w:val="true"/>
        </w:trPr>
        <w:tc>
          <w:tcPr>
            <w:tcW w:w="14453" w:type="dxa"/>
            <w:gridSpan w:val="2"/>
            <w:tcBorders>
              <w:top w:val="single" w:sz="4" w:space="0" w:color="000000"/>
              <w:left w:val="single" w:sz="4" w:space="0" w:color="000000"/>
              <w:bottom w:val="single" w:sz="4" w:space="0" w:color="000000"/>
              <w:right w:val="single" w:sz="4" w:space="0" w:color="000000"/>
            </w:tcBorders>
            <w:shd w:color="auto" w:fill="FFFFFF" w:val="pct12"/>
          </w:tcPr>
          <w:p>
            <w:pPr>
              <w:pStyle w:val="Normal"/>
              <w:tabs>
                <w:tab w:val="clear" w:pos="709"/>
                <w:tab w:val="left" w:pos="1875" w:leader="none"/>
              </w:tabs>
              <w:suppressAutoHyphens w:val="false"/>
              <w:ind w:right="113"/>
              <w:jc w:val="both"/>
              <w:rPr>
                <w:rFonts w:ascii="Calibri" w:hAnsi="Calibri"/>
                <w:b/>
                <w:sz w:val="22"/>
                <w:lang w:eastAsia="de-DE"/>
              </w:rPr>
            </w:pPr>
            <w:r>
              <w:rPr>
                <w:rFonts w:ascii="Calibri" w:hAnsi="Calibri"/>
                <w:b/>
                <w:sz w:val="22"/>
                <w:lang w:eastAsia="de-DE"/>
              </w:rPr>
              <w:t>Anregung</w:t>
            </w:r>
          </w:p>
        </w:tc>
      </w:tr>
      <w:tr>
        <w:trPr/>
        <w:tc>
          <w:tcPr>
            <w:tcW w:w="206" w:type="dxa"/>
            <w:tcBorders>
              <w:top w:val="single" w:sz="4" w:space="0" w:color="000000"/>
              <w:left w:val="single" w:sz="4" w:space="0" w:color="000000"/>
              <w:bottom w:val="single" w:sz="4" w:space="0" w:color="000000"/>
            </w:tcBorders>
          </w:tcPr>
          <w:p>
            <w:pPr>
              <w:pStyle w:val="Normal"/>
              <w:widowControl w:val="false"/>
              <w:tabs>
                <w:tab w:val="clear" w:pos="709"/>
                <w:tab w:val="left" w:pos="708" w:leader="none"/>
                <w:tab w:val="center" w:pos="4536" w:leader="none"/>
                <w:tab w:val="right" w:pos="9072" w:leader="none"/>
              </w:tabs>
              <w:suppressAutoHyphens w:val="false"/>
              <w:ind w:right="113"/>
              <w:jc w:val="right"/>
              <w:rPr>
                <w:rFonts w:ascii="Calibri" w:hAnsi="Calibri"/>
                <w:sz w:val="16"/>
                <w:highlight w:val="yellow"/>
                <w:lang w:eastAsia="de-DE"/>
              </w:rPr>
            </w:pPr>
            <w:r>
              <w:rPr>
                <w:rFonts w:ascii="Calibri" w:hAnsi="Calibri"/>
                <w:sz w:val="16"/>
                <w:highlight w:val="yellow"/>
                <w:lang w:eastAsia="de-DE"/>
              </w:rPr>
            </w:r>
          </w:p>
        </w:tc>
        <w:tc>
          <w:tcPr>
            <w:tcW w:w="14247" w:type="dxa"/>
            <w:tcBorders>
              <w:top w:val="single" w:sz="4" w:space="0" w:color="000000"/>
              <w:bottom w:val="single" w:sz="4" w:space="0" w:color="000000"/>
              <w:right w:val="single" w:sz="4" w:space="0" w:color="000000"/>
            </w:tcBorders>
          </w:tcPr>
          <w:p>
            <w:pPr>
              <w:pStyle w:val="Normal"/>
              <w:suppressAutoHyphens w:val="false"/>
              <w:ind w:right="113"/>
              <w:jc w:val="both"/>
              <w:rPr>
                <w:rFonts w:ascii="Arial" w:hAnsi="Arial" w:eastAsia="Arial" w:cs="Arial"/>
                <w:color w:val="000000"/>
                <w:szCs w:val="21"/>
                <w:highlight w:val="yellow"/>
                <w:shd w:fill="FFFFFF" w:val="clear"/>
                <w:lang w:eastAsia="de-DE"/>
              </w:rPr>
            </w:pPr>
            <w:r>
              <w:rPr>
                <w:rFonts w:eastAsia="Arial" w:cs="Arial" w:ascii="Arial" w:hAnsi="Arial"/>
                <w:color w:val="000000"/>
                <w:szCs w:val="21"/>
                <w:highlight w:val="yellow"/>
                <w:shd w:fill="FFFFFF" w:val="clear"/>
                <w:lang w:eastAsia="de-DE"/>
              </w:rPr>
            </w:r>
          </w:p>
          <w:p>
            <w:pPr>
              <w:pStyle w:val="Normal"/>
              <w:suppressAutoHyphens w:val="false"/>
              <w:spacing w:lineRule="exact" w:line="278" w:before="0" w:after="25"/>
              <w:ind w:left="20" w:right="300"/>
              <w:jc w:val="both"/>
              <w:rPr>
                <w:rFonts w:ascii="Calibri" w:hAnsi="Calibri"/>
                <w:sz w:val="22"/>
                <w:lang w:eastAsia="de-DE"/>
              </w:rPr>
            </w:pPr>
            <w:r>
              <w:rPr>
                <w:rFonts w:ascii="Calibri" w:hAnsi="Calibri"/>
                <w:sz w:val="22"/>
                <w:lang w:eastAsia="de-DE"/>
              </w:rPr>
              <w:t xml:space="preserve">im Planbereich der o. a. Maßnahme verlaufen keine Höchstspannungsleitungen unseres Unternehmens. </w:t>
            </w:r>
          </w:p>
          <w:p>
            <w:pPr>
              <w:pStyle w:val="Normal"/>
              <w:suppressAutoHyphens w:val="false"/>
              <w:spacing w:lineRule="exact" w:line="278" w:before="0" w:after="25"/>
              <w:ind w:left="20" w:right="300"/>
              <w:jc w:val="both"/>
              <w:rPr>
                <w:rFonts w:ascii="Calibri" w:hAnsi="Calibri"/>
                <w:sz w:val="22"/>
                <w:lang w:eastAsia="de-DE"/>
              </w:rPr>
            </w:pPr>
            <w:r>
              <w:rPr>
                <w:rFonts w:ascii="Calibri" w:hAnsi="Calibri"/>
                <w:sz w:val="22"/>
                <w:lang w:eastAsia="de-DE"/>
              </w:rPr>
            </w:r>
          </w:p>
          <w:p>
            <w:pPr>
              <w:pStyle w:val="Normal"/>
              <w:suppressAutoHyphens w:val="false"/>
              <w:spacing w:lineRule="exact" w:line="278" w:before="0" w:after="25"/>
              <w:ind w:left="20" w:right="300"/>
              <w:jc w:val="both"/>
              <w:rPr>
                <w:rFonts w:ascii="Calibri" w:hAnsi="Calibri"/>
                <w:sz w:val="22"/>
                <w:lang w:eastAsia="de-DE"/>
              </w:rPr>
            </w:pPr>
            <w:r>
              <w:rPr>
                <w:rFonts w:ascii="Calibri" w:hAnsi="Calibri"/>
                <w:sz w:val="22"/>
                <w:lang w:eastAsia="de-DE"/>
              </w:rPr>
              <w:t xml:space="preserve">Planungen von Höchstspannungsleitungen für diesen Bereich liegen aus heutiger Sicht nicht vor. </w:t>
            </w:r>
          </w:p>
          <w:p>
            <w:pPr>
              <w:pStyle w:val="Normal"/>
              <w:suppressAutoHyphens w:val="false"/>
              <w:spacing w:lineRule="exact" w:line="278" w:before="0" w:after="25"/>
              <w:ind w:left="20" w:right="300"/>
              <w:jc w:val="both"/>
              <w:rPr>
                <w:rFonts w:ascii="Calibri" w:hAnsi="Calibri"/>
                <w:sz w:val="22"/>
                <w:lang w:eastAsia="de-DE"/>
              </w:rPr>
            </w:pPr>
            <w:r>
              <w:rPr>
                <w:rFonts w:ascii="Calibri" w:hAnsi="Calibri"/>
                <w:sz w:val="22"/>
                <w:lang w:eastAsia="de-DE"/>
              </w:rPr>
            </w:r>
          </w:p>
          <w:p>
            <w:pPr>
              <w:pStyle w:val="Normal"/>
              <w:suppressAutoHyphens w:val="false"/>
              <w:spacing w:lineRule="exact" w:line="278" w:before="0" w:after="25"/>
              <w:ind w:left="20" w:right="300"/>
              <w:jc w:val="both"/>
              <w:rPr>
                <w:rFonts w:ascii="Calibri" w:hAnsi="Calibri" w:eastAsia="Calibri"/>
                <w:sz w:val="22"/>
                <w:highlight w:val="yellow"/>
                <w:lang w:eastAsia="de-DE"/>
              </w:rPr>
            </w:pPr>
            <w:r>
              <w:rPr>
                <w:rFonts w:ascii="Calibri" w:hAnsi="Calibri"/>
                <w:sz w:val="22"/>
                <w:lang w:eastAsia="de-DE"/>
              </w:rPr>
              <w:t>Wir gehen davon aus, dass Sie bezüglich weiterer Versorgungsleitungen die zuständigen Unternehmen beteiligt haben.</w:t>
            </w:r>
          </w:p>
        </w:tc>
      </w:tr>
    </w:tbl>
    <w:p>
      <w:pPr>
        <w:pStyle w:val="Normal"/>
        <w:keepNext w:val="true"/>
        <w:numPr>
          <w:ilvl w:val="0"/>
          <w:numId w:val="30"/>
        </w:numPr>
        <w:tabs>
          <w:tab w:val="clear" w:pos="709"/>
          <w:tab w:val="left" w:pos="2694" w:leader="none"/>
          <w:tab w:val="left" w:pos="8505" w:leader="none"/>
        </w:tabs>
        <w:suppressAutoHyphens w:val="false"/>
        <w:spacing w:before="360" w:after="100"/>
        <w:ind w:hanging="432" w:left="858" w:right="-29"/>
        <w:jc w:val="both"/>
        <w:outlineLvl w:val="0"/>
        <w:rPr>
          <w:rFonts w:ascii="Calibri" w:hAnsi="Calibri"/>
          <w:b/>
          <w:sz w:val="22"/>
          <w:lang w:eastAsia="de-DE"/>
        </w:rPr>
      </w:pPr>
      <w:bookmarkStart w:id="4" w:name="_Toc122069574"/>
      <w:r>
        <w:rPr>
          <w:rFonts w:ascii="Calibri" w:hAnsi="Calibri"/>
          <w:b/>
          <w:sz w:val="22"/>
          <w:lang w:eastAsia="de-DE"/>
        </w:rPr>
        <w:t>Bundesamt für Infrastruktur, Umweltschutz und Dienstleistungen der Bundewehr</w:t>
      </w:r>
      <w:bookmarkEnd w:id="4"/>
    </w:p>
    <w:tbl>
      <w:tblPr>
        <w:tblW w:w="14454"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206"/>
        <w:gridCol w:w="14247"/>
      </w:tblGrid>
      <w:tr>
        <w:trPr>
          <w:tblHeader w:val="true"/>
        </w:trPr>
        <w:tc>
          <w:tcPr>
            <w:tcW w:w="14453" w:type="dxa"/>
            <w:gridSpan w:val="2"/>
            <w:tcBorders>
              <w:top w:val="single" w:sz="4" w:space="0" w:color="000000"/>
              <w:left w:val="single" w:sz="4" w:space="0" w:color="000000"/>
              <w:bottom w:val="single" w:sz="4" w:space="0" w:color="000000"/>
              <w:right w:val="single" w:sz="4" w:space="0" w:color="000000"/>
            </w:tcBorders>
            <w:shd w:color="auto" w:fill="FFFFFF" w:val="pct12"/>
          </w:tcPr>
          <w:p>
            <w:pPr>
              <w:pStyle w:val="Normal"/>
              <w:tabs>
                <w:tab w:val="clear" w:pos="709"/>
                <w:tab w:val="left" w:pos="1875" w:leader="none"/>
              </w:tabs>
              <w:suppressAutoHyphens w:val="false"/>
              <w:ind w:right="113"/>
              <w:jc w:val="both"/>
              <w:rPr>
                <w:rFonts w:ascii="Calibri" w:hAnsi="Calibri"/>
                <w:b/>
                <w:sz w:val="22"/>
                <w:lang w:eastAsia="de-DE"/>
              </w:rPr>
            </w:pPr>
            <w:r>
              <w:rPr>
                <w:rFonts w:ascii="Calibri" w:hAnsi="Calibri"/>
                <w:b/>
                <w:sz w:val="22"/>
                <w:lang w:eastAsia="de-DE"/>
              </w:rPr>
              <w:t>Anregung</w:t>
            </w:r>
          </w:p>
        </w:tc>
      </w:tr>
      <w:tr>
        <w:trPr/>
        <w:tc>
          <w:tcPr>
            <w:tcW w:w="206" w:type="dxa"/>
            <w:tcBorders>
              <w:top w:val="single" w:sz="4" w:space="0" w:color="000000"/>
              <w:left w:val="single" w:sz="4" w:space="0" w:color="000000"/>
              <w:bottom w:val="single" w:sz="4" w:space="0" w:color="000000"/>
            </w:tcBorders>
          </w:tcPr>
          <w:p>
            <w:pPr>
              <w:pStyle w:val="Normal"/>
              <w:widowControl w:val="false"/>
              <w:tabs>
                <w:tab w:val="clear" w:pos="709"/>
                <w:tab w:val="left" w:pos="708" w:leader="none"/>
                <w:tab w:val="center" w:pos="4536" w:leader="none"/>
                <w:tab w:val="right" w:pos="9072" w:leader="none"/>
              </w:tabs>
              <w:suppressAutoHyphens w:val="false"/>
              <w:ind w:right="113"/>
              <w:jc w:val="right"/>
              <w:rPr>
                <w:rFonts w:ascii="Calibri" w:hAnsi="Calibri"/>
                <w:sz w:val="16"/>
                <w:highlight w:val="yellow"/>
                <w:lang w:eastAsia="de-DE"/>
              </w:rPr>
            </w:pPr>
            <w:r>
              <w:rPr>
                <w:rFonts w:ascii="Calibri" w:hAnsi="Calibri"/>
                <w:sz w:val="16"/>
                <w:highlight w:val="yellow"/>
                <w:lang w:eastAsia="de-DE"/>
              </w:rPr>
            </w:r>
          </w:p>
        </w:tc>
        <w:tc>
          <w:tcPr>
            <w:tcW w:w="14247" w:type="dxa"/>
            <w:tcBorders>
              <w:top w:val="single" w:sz="4" w:space="0" w:color="000000"/>
              <w:bottom w:val="single" w:sz="4" w:space="0" w:color="000000"/>
              <w:right w:val="single" w:sz="4" w:space="0" w:color="000000"/>
            </w:tcBorders>
          </w:tcPr>
          <w:p>
            <w:pPr>
              <w:pStyle w:val="Normal"/>
              <w:suppressAutoHyphens w:val="false"/>
              <w:ind w:right="113"/>
              <w:jc w:val="both"/>
              <w:rPr>
                <w:rFonts w:ascii="Arial" w:hAnsi="Arial" w:eastAsia="Arial" w:cs="Arial"/>
                <w:color w:val="000000"/>
                <w:szCs w:val="21"/>
                <w:highlight w:val="yellow"/>
                <w:shd w:fill="FFFFFF" w:val="clear"/>
                <w:lang w:eastAsia="de-DE"/>
              </w:rPr>
            </w:pPr>
            <w:r>
              <w:rPr>
                <w:rFonts w:eastAsia="Arial" w:cs="Arial" w:ascii="Arial" w:hAnsi="Arial"/>
                <w:color w:val="000000"/>
                <w:szCs w:val="21"/>
                <w:highlight w:val="yellow"/>
                <w:shd w:fill="FFFFFF" w:val="clear"/>
                <w:lang w:eastAsia="de-DE"/>
              </w:rPr>
            </w:r>
          </w:p>
          <w:p>
            <w:pPr>
              <w:pStyle w:val="Normal"/>
              <w:suppressAutoHyphens w:val="false"/>
              <w:ind w:right="113"/>
              <w:jc w:val="both"/>
              <w:rPr>
                <w:rFonts w:ascii="Calibri" w:hAnsi="Calibri"/>
                <w:sz w:val="22"/>
                <w:lang w:eastAsia="de-DE"/>
              </w:rPr>
            </w:pPr>
            <w:r>
              <w:rPr>
                <w:rFonts w:ascii="Calibri" w:hAnsi="Calibri"/>
                <w:sz w:val="22"/>
                <w:lang w:eastAsia="de-DE"/>
              </w:rPr>
              <w:t>durch die oben genannte und in den Unterlagen näher beschriebene Planung werden Belange der Bundeswehr berührt, jedoch nicht beeinträchtigt.</w:t>
            </w:r>
          </w:p>
          <w:p>
            <w:pPr>
              <w:pStyle w:val="Normal"/>
              <w:suppressAutoHyphens w:val="false"/>
              <w:ind w:right="113"/>
              <w:jc w:val="both"/>
              <w:rPr>
                <w:rFonts w:ascii="Calibri" w:hAnsi="Calibri"/>
                <w:sz w:val="22"/>
                <w:lang w:eastAsia="de-DE"/>
              </w:rPr>
            </w:pPr>
            <w:r>
              <w:rPr>
                <w:rFonts w:ascii="Calibri" w:hAnsi="Calibri"/>
                <w:sz w:val="22"/>
                <w:lang w:eastAsia="de-DE"/>
              </w:rPr>
            </w:r>
          </w:p>
          <w:p>
            <w:pPr>
              <w:pStyle w:val="Normal"/>
              <w:suppressAutoHyphens w:val="false"/>
              <w:ind w:right="113"/>
              <w:jc w:val="both"/>
              <w:rPr>
                <w:rFonts w:ascii="Calibri" w:hAnsi="Calibri"/>
                <w:sz w:val="22"/>
                <w:lang w:eastAsia="de-DE"/>
              </w:rPr>
            </w:pPr>
            <w:r>
              <w:rPr>
                <w:rFonts w:ascii="Calibri" w:hAnsi="Calibri"/>
                <w:sz w:val="22"/>
                <w:lang w:eastAsia="de-DE"/>
              </w:rPr>
              <w:t>Vorbehaltlich einer gleichbleibenden Sach- und Rechtslage bestehen zu der Planung seitens der Bundeswehr als Träger öffentlicher Belange keine Einwände.</w:t>
            </w:r>
          </w:p>
        </w:tc>
      </w:tr>
    </w:tbl>
    <w:p>
      <w:pPr>
        <w:pStyle w:val="Normal"/>
        <w:keepNext w:val="true"/>
        <w:numPr>
          <w:ilvl w:val="0"/>
          <w:numId w:val="31"/>
        </w:numPr>
        <w:tabs>
          <w:tab w:val="clear" w:pos="709"/>
          <w:tab w:val="left" w:pos="2694" w:leader="none"/>
          <w:tab w:val="left" w:pos="8505" w:leader="none"/>
        </w:tabs>
        <w:suppressAutoHyphens w:val="false"/>
        <w:spacing w:before="360" w:after="100"/>
        <w:ind w:hanging="432" w:left="858" w:right="-29"/>
        <w:jc w:val="both"/>
        <w:outlineLvl w:val="0"/>
        <w:rPr>
          <w:rFonts w:ascii="Calibri" w:hAnsi="Calibri"/>
          <w:b/>
          <w:sz w:val="22"/>
          <w:lang w:eastAsia="de-DE"/>
        </w:rPr>
      </w:pPr>
      <w:bookmarkStart w:id="5" w:name="_Toc46224896"/>
      <w:bookmarkStart w:id="6" w:name="_Toc122069575"/>
      <w:bookmarkEnd w:id="5"/>
      <w:r>
        <w:rPr>
          <w:rFonts w:ascii="Calibri" w:hAnsi="Calibri"/>
          <w:b/>
          <w:sz w:val="22"/>
          <w:lang w:eastAsia="de-DE"/>
        </w:rPr>
        <w:t>Bundesaufsichtsamt für Flugsicherung</w:t>
      </w:r>
      <w:bookmarkEnd w:id="6"/>
    </w:p>
    <w:tbl>
      <w:tblPr>
        <w:tblW w:w="14454"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206"/>
        <w:gridCol w:w="14247"/>
      </w:tblGrid>
      <w:tr>
        <w:trPr>
          <w:tblHeader w:val="true"/>
        </w:trPr>
        <w:tc>
          <w:tcPr>
            <w:tcW w:w="14453" w:type="dxa"/>
            <w:gridSpan w:val="2"/>
            <w:tcBorders>
              <w:top w:val="single" w:sz="4" w:space="0" w:color="000000"/>
              <w:left w:val="single" w:sz="4" w:space="0" w:color="000000"/>
              <w:bottom w:val="single" w:sz="4" w:space="0" w:color="000000"/>
              <w:right w:val="single" w:sz="4" w:space="0" w:color="000000"/>
            </w:tcBorders>
            <w:shd w:color="auto" w:fill="FFFFFF" w:val="pct12"/>
          </w:tcPr>
          <w:p>
            <w:pPr>
              <w:pStyle w:val="Normal"/>
              <w:tabs>
                <w:tab w:val="clear" w:pos="709"/>
                <w:tab w:val="left" w:pos="1875" w:leader="none"/>
              </w:tabs>
              <w:suppressAutoHyphens w:val="false"/>
              <w:ind w:right="113"/>
              <w:jc w:val="both"/>
              <w:rPr>
                <w:rFonts w:ascii="Calibri" w:hAnsi="Calibri"/>
                <w:b/>
                <w:sz w:val="22"/>
                <w:lang w:eastAsia="de-DE"/>
              </w:rPr>
            </w:pPr>
            <w:r>
              <w:rPr>
                <w:rFonts w:ascii="Calibri" w:hAnsi="Calibri"/>
                <w:b/>
                <w:sz w:val="22"/>
                <w:lang w:eastAsia="de-DE"/>
              </w:rPr>
              <w:t>Anregung</w:t>
            </w:r>
          </w:p>
        </w:tc>
      </w:tr>
      <w:tr>
        <w:trPr/>
        <w:tc>
          <w:tcPr>
            <w:tcW w:w="206" w:type="dxa"/>
            <w:tcBorders>
              <w:top w:val="single" w:sz="4" w:space="0" w:color="000000"/>
              <w:left w:val="single" w:sz="4" w:space="0" w:color="000000"/>
              <w:bottom w:val="single" w:sz="4" w:space="0" w:color="000000"/>
            </w:tcBorders>
          </w:tcPr>
          <w:p>
            <w:pPr>
              <w:pStyle w:val="Normal"/>
              <w:widowControl w:val="false"/>
              <w:tabs>
                <w:tab w:val="clear" w:pos="709"/>
                <w:tab w:val="left" w:pos="708" w:leader="none"/>
                <w:tab w:val="center" w:pos="4536" w:leader="none"/>
                <w:tab w:val="right" w:pos="9072" w:leader="none"/>
              </w:tabs>
              <w:suppressAutoHyphens w:val="false"/>
              <w:ind w:right="113"/>
              <w:jc w:val="right"/>
              <w:rPr>
                <w:rFonts w:ascii="Calibri" w:hAnsi="Calibri"/>
                <w:sz w:val="16"/>
                <w:lang w:eastAsia="de-DE"/>
              </w:rPr>
            </w:pPr>
            <w:r>
              <w:rPr>
                <w:rFonts w:ascii="Calibri" w:hAnsi="Calibri"/>
                <w:sz w:val="16"/>
                <w:lang w:eastAsia="de-DE"/>
              </w:rPr>
            </w:r>
          </w:p>
        </w:tc>
        <w:tc>
          <w:tcPr>
            <w:tcW w:w="14247" w:type="dxa"/>
            <w:tcBorders>
              <w:top w:val="single" w:sz="4" w:space="0" w:color="000000"/>
              <w:bottom w:val="single" w:sz="4" w:space="0" w:color="000000"/>
              <w:right w:val="single" w:sz="4" w:space="0" w:color="000000"/>
            </w:tcBorders>
          </w:tcPr>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In dem o.g. Bauleitplanverfahren berufe ich mich für meine Behörde auf die Zustimmungsfiktion.</w:t>
            </w:r>
          </w:p>
        </w:tc>
      </w:tr>
    </w:tbl>
    <w:p>
      <w:pPr>
        <w:pStyle w:val="Normal"/>
        <w:keepNext w:val="true"/>
        <w:numPr>
          <w:ilvl w:val="0"/>
          <w:numId w:val="4"/>
        </w:numPr>
        <w:tabs>
          <w:tab w:val="clear" w:pos="709"/>
          <w:tab w:val="left" w:pos="2694" w:leader="none"/>
          <w:tab w:val="left" w:pos="8505" w:leader="none"/>
        </w:tabs>
        <w:suppressAutoHyphens w:val="false"/>
        <w:spacing w:before="360" w:after="100"/>
        <w:ind w:hanging="432" w:left="858" w:right="-29"/>
        <w:jc w:val="both"/>
        <w:outlineLvl w:val="0"/>
        <w:rPr>
          <w:rFonts w:ascii="Calibri" w:hAnsi="Calibri"/>
          <w:b/>
          <w:sz w:val="22"/>
          <w:lang w:eastAsia="de-DE"/>
        </w:rPr>
      </w:pPr>
      <w:bookmarkStart w:id="7" w:name="_Toc122069576"/>
      <w:r>
        <w:rPr>
          <w:rFonts w:ascii="Calibri" w:hAnsi="Calibri"/>
          <w:b/>
          <w:sz w:val="22"/>
          <w:lang w:eastAsia="de-DE"/>
        </w:rPr>
        <w:t>Creos Deutschland GmbH</w:t>
      </w:r>
      <w:bookmarkEnd w:id="7"/>
    </w:p>
    <w:tbl>
      <w:tblPr>
        <w:tblW w:w="14454"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206"/>
        <w:gridCol w:w="14247"/>
      </w:tblGrid>
      <w:tr>
        <w:trPr>
          <w:tblHeader w:val="true"/>
        </w:trPr>
        <w:tc>
          <w:tcPr>
            <w:tcW w:w="14453" w:type="dxa"/>
            <w:gridSpan w:val="2"/>
            <w:tcBorders>
              <w:top w:val="single" w:sz="4" w:space="0" w:color="000000"/>
              <w:left w:val="single" w:sz="4" w:space="0" w:color="000000"/>
              <w:bottom w:val="single" w:sz="4" w:space="0" w:color="000000"/>
              <w:right w:val="single" w:sz="4" w:space="0" w:color="000000"/>
            </w:tcBorders>
            <w:shd w:color="auto" w:fill="FFFFFF" w:val="pct12"/>
          </w:tcPr>
          <w:p>
            <w:pPr>
              <w:pStyle w:val="Normal"/>
              <w:tabs>
                <w:tab w:val="clear" w:pos="709"/>
                <w:tab w:val="left" w:pos="1875" w:leader="none"/>
              </w:tabs>
              <w:suppressAutoHyphens w:val="false"/>
              <w:ind w:right="113"/>
              <w:jc w:val="both"/>
              <w:rPr>
                <w:rFonts w:ascii="Calibri" w:hAnsi="Calibri"/>
                <w:b/>
                <w:sz w:val="22"/>
                <w:lang w:eastAsia="de-DE"/>
              </w:rPr>
            </w:pPr>
            <w:r>
              <w:rPr>
                <w:rFonts w:ascii="Calibri" w:hAnsi="Calibri"/>
                <w:b/>
                <w:sz w:val="22"/>
                <w:lang w:eastAsia="de-DE"/>
              </w:rPr>
              <w:t>Anregung</w:t>
            </w:r>
          </w:p>
        </w:tc>
      </w:tr>
      <w:tr>
        <w:trPr/>
        <w:tc>
          <w:tcPr>
            <w:tcW w:w="206" w:type="dxa"/>
            <w:tcBorders>
              <w:top w:val="single" w:sz="4" w:space="0" w:color="000000"/>
              <w:left w:val="single" w:sz="4" w:space="0" w:color="000000"/>
              <w:bottom w:val="single" w:sz="4" w:space="0" w:color="000000"/>
            </w:tcBorders>
          </w:tcPr>
          <w:p>
            <w:pPr>
              <w:pStyle w:val="Normal"/>
              <w:widowControl w:val="false"/>
              <w:tabs>
                <w:tab w:val="clear" w:pos="709"/>
                <w:tab w:val="left" w:pos="708" w:leader="none"/>
                <w:tab w:val="center" w:pos="4536" w:leader="none"/>
                <w:tab w:val="right" w:pos="9072" w:leader="none"/>
              </w:tabs>
              <w:suppressAutoHyphens w:val="false"/>
              <w:ind w:right="113"/>
              <w:jc w:val="right"/>
              <w:rPr>
                <w:rFonts w:ascii="Calibri" w:hAnsi="Calibri" w:cs="Calibri"/>
                <w:sz w:val="22"/>
                <w:szCs w:val="22"/>
                <w:lang w:eastAsia="de-DE"/>
              </w:rPr>
            </w:pPr>
            <w:r>
              <w:rPr>
                <w:rFonts w:cs="Calibri" w:ascii="Calibri" w:hAnsi="Calibri"/>
                <w:sz w:val="22"/>
                <w:szCs w:val="22"/>
                <w:lang w:eastAsia="de-DE"/>
              </w:rPr>
            </w:r>
          </w:p>
        </w:tc>
        <w:tc>
          <w:tcPr>
            <w:tcW w:w="14247" w:type="dxa"/>
            <w:tcBorders>
              <w:top w:val="single" w:sz="4" w:space="0" w:color="000000"/>
              <w:bottom w:val="single" w:sz="4" w:space="0" w:color="000000"/>
              <w:right w:val="single" w:sz="4" w:space="0" w:color="000000"/>
            </w:tcBorders>
          </w:tcPr>
          <w:p>
            <w:pPr>
              <w:pStyle w:val="Normal"/>
              <w:suppressAutoHyphens w:val="false"/>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r>
          </w:p>
          <w:p>
            <w:pPr>
              <w:pStyle w:val="Normal"/>
              <w:suppressAutoHyphens w:val="false"/>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 xml:space="preserve">die Creos Deutschland GmbH betreibt ein </w:t>
            </w:r>
            <w:r>
              <w:rPr>
                <w:rFonts w:eastAsia="Arial Narrow" w:cs="Calibri" w:ascii="Calibri" w:hAnsi="Calibri"/>
                <w:b/>
                <w:bCs/>
                <w:sz w:val="22"/>
                <w:szCs w:val="22"/>
                <w:shd w:fill="FFFFFF" w:val="clear"/>
                <w:lang w:eastAsia="de-DE"/>
              </w:rPr>
              <w:t>eigenes Gashochdruckleitungsnetz</w:t>
            </w:r>
            <w:r>
              <w:rPr>
                <w:rFonts w:eastAsia="Arial Narrow" w:cs="Calibri" w:ascii="Calibri" w:hAnsi="Calibri"/>
                <w:bCs/>
                <w:sz w:val="22"/>
                <w:szCs w:val="22"/>
                <w:shd w:fill="FFFFFF" w:val="clear"/>
                <w:lang w:eastAsia="de-DE"/>
              </w:rPr>
              <w:t xml:space="preserve"> sowie ein </w:t>
            </w:r>
            <w:r>
              <w:rPr>
                <w:rFonts w:eastAsia="Arial Narrow" w:cs="Calibri" w:ascii="Calibri" w:hAnsi="Calibri"/>
                <w:b/>
                <w:bCs/>
                <w:sz w:val="22"/>
                <w:szCs w:val="22"/>
                <w:shd w:fill="FFFFFF" w:val="clear"/>
                <w:lang w:eastAsia="de-DE"/>
              </w:rPr>
              <w:t>eigenes Hoch- und Mittelspannungsnetz</w:t>
            </w:r>
            <w:r>
              <w:rPr>
                <w:rFonts w:eastAsia="Arial Narrow" w:cs="Calibri" w:ascii="Calibri" w:hAnsi="Calibri"/>
                <w:bCs/>
                <w:sz w:val="22"/>
                <w:szCs w:val="22"/>
                <w:shd w:fill="FFFFFF" w:val="clear"/>
                <w:lang w:eastAsia="de-DE"/>
              </w:rPr>
              <w:t xml:space="preserve"> inklusive der zugehörigen Anlagen.</w:t>
            </w:r>
          </w:p>
          <w:p>
            <w:pPr>
              <w:pStyle w:val="Normal"/>
              <w:suppressAutoHyphens w:val="false"/>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Folgende Unternehmen haben uns mit der Betreuung Ihrer Leitungen und Anlagen im Rahmen der Planauskunft beauftragt:</w:t>
            </w:r>
          </w:p>
          <w:p>
            <w:pPr>
              <w:pStyle w:val="Normal"/>
              <w:suppressAutoHyphens w:val="false"/>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r>
          </w:p>
          <w:p>
            <w:pPr>
              <w:pStyle w:val="Normal"/>
              <w:numPr>
                <w:ilvl w:val="0"/>
                <w:numId w:val="9"/>
              </w:numPr>
              <w:suppressAutoHyphens w:val="false"/>
              <w:spacing w:before="0" w:after="0"/>
              <w:ind w:hanging="360" w:left="720" w:right="113"/>
              <w:contextualSpacing/>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Nippon Gases Deutschland GmbH (Sauerstoff- und Stickstoffleitungen im Saarland)</w:t>
            </w:r>
          </w:p>
          <w:p>
            <w:pPr>
              <w:pStyle w:val="Normal"/>
              <w:numPr>
                <w:ilvl w:val="0"/>
                <w:numId w:val="9"/>
              </w:numPr>
              <w:suppressAutoHyphens w:val="false"/>
              <w:spacing w:before="0" w:after="0"/>
              <w:ind w:hanging="360" w:left="720" w:right="113"/>
              <w:contextualSpacing/>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Zentralkokerei Saar GmbH (ZKS-Leitung im Saarland)</w:t>
            </w:r>
          </w:p>
          <w:p>
            <w:pPr>
              <w:pStyle w:val="Normal"/>
              <w:numPr>
                <w:ilvl w:val="0"/>
                <w:numId w:val="9"/>
              </w:numPr>
              <w:suppressAutoHyphens w:val="false"/>
              <w:spacing w:before="0" w:after="0"/>
              <w:ind w:hanging="360" w:left="720" w:right="113"/>
              <w:contextualSpacing/>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Stadtwerke Ramstein- Miesenbach GmbH (Biogasleitung im Bereich Ramstein-Miesenbach)</w:t>
            </w:r>
          </w:p>
          <w:p>
            <w:pPr>
              <w:pStyle w:val="Normal"/>
              <w:numPr>
                <w:ilvl w:val="0"/>
                <w:numId w:val="9"/>
              </w:numPr>
              <w:suppressAutoHyphens w:val="false"/>
              <w:spacing w:before="0" w:after="0"/>
              <w:ind w:hanging="360" w:left="720" w:right="113"/>
              <w:contextualSpacing/>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 xml:space="preserve">Energis-Netzgesellschaft GmbH (Gashochdruckleitungen im Bereich Sulzbach / Altenwald / Friedrichsthal) </w:t>
            </w:r>
          </w:p>
          <w:p>
            <w:pPr>
              <w:pStyle w:val="Normal"/>
              <w:numPr>
                <w:ilvl w:val="0"/>
                <w:numId w:val="9"/>
              </w:numPr>
              <w:suppressAutoHyphens w:val="false"/>
              <w:spacing w:before="0" w:after="0"/>
              <w:ind w:hanging="360" w:left="720" w:right="113"/>
              <w:contextualSpacing/>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Villeroy &amp; Boch AG (Gashochdruckleitungen im Bereich Mettlach)</w:t>
            </w:r>
          </w:p>
          <w:p>
            <w:pPr>
              <w:pStyle w:val="Normal"/>
              <w:suppressAutoHyphens w:val="false"/>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r>
          </w:p>
          <w:p>
            <w:pPr>
              <w:pStyle w:val="Normal"/>
              <w:suppressAutoHyphens w:val="false"/>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 xml:space="preserve">Zu Ihrer Anfrage teilen wir Ihnen mit, dass im angefragten </w:t>
            </w:r>
            <w:r>
              <w:rPr>
                <w:rFonts w:eastAsia="Arial Narrow" w:cs="Calibri" w:ascii="Calibri" w:hAnsi="Calibri"/>
                <w:b/>
                <w:bCs/>
                <w:sz w:val="22"/>
                <w:szCs w:val="22"/>
                <w:u w:val="single"/>
                <w:shd w:fill="FFFFFF" w:val="clear"/>
                <w:lang w:eastAsia="de-DE"/>
              </w:rPr>
              <w:t>Bereich keine Anlagen der Creos Deutschland GmbH und keine der von uns betreuten Anlagen</w:t>
            </w:r>
            <w:r>
              <w:rPr>
                <w:rFonts w:eastAsia="Arial Narrow" w:cs="Calibri" w:ascii="Calibri" w:hAnsi="Calibri"/>
                <w:bCs/>
                <w:sz w:val="22"/>
                <w:szCs w:val="22"/>
                <w:shd w:fill="FFFFFF" w:val="clear"/>
                <w:lang w:eastAsia="de-DE"/>
              </w:rPr>
              <w:t xml:space="preserve"> vorhanden sind.</w:t>
            </w:r>
          </w:p>
        </w:tc>
      </w:tr>
    </w:tbl>
    <w:p>
      <w:pPr>
        <w:pStyle w:val="Normal"/>
        <w:keepNext w:val="true"/>
        <w:numPr>
          <w:ilvl w:val="0"/>
          <w:numId w:val="32"/>
        </w:numPr>
        <w:tabs>
          <w:tab w:val="clear" w:pos="709"/>
          <w:tab w:val="left" w:pos="2694" w:leader="none"/>
          <w:tab w:val="left" w:pos="8505" w:leader="none"/>
        </w:tabs>
        <w:suppressAutoHyphens w:val="false"/>
        <w:spacing w:before="360" w:after="100"/>
        <w:ind w:hanging="432" w:left="858" w:right="-29"/>
        <w:jc w:val="both"/>
        <w:outlineLvl w:val="0"/>
        <w:rPr>
          <w:rFonts w:ascii="Calibri" w:hAnsi="Calibri"/>
          <w:b/>
          <w:sz w:val="22"/>
          <w:lang w:eastAsia="de-DE"/>
        </w:rPr>
      </w:pPr>
      <w:bookmarkStart w:id="8" w:name="_Toc122069577"/>
      <w:r>
        <w:rPr>
          <w:rFonts w:ascii="Calibri" w:hAnsi="Calibri"/>
          <w:b/>
          <w:sz w:val="22"/>
          <w:lang w:eastAsia="de-DE"/>
        </w:rPr>
        <w:t>Deutsche Flugsicherung</w:t>
      </w:r>
      <w:bookmarkEnd w:id="8"/>
      <w:r>
        <w:rPr>
          <w:rFonts w:ascii="Calibri" w:hAnsi="Calibri"/>
          <w:b/>
          <w:sz w:val="22"/>
          <w:lang w:eastAsia="de-DE"/>
        </w:rPr>
        <w:t xml:space="preserve"> Unternehmenszentrale</w:t>
      </w:r>
    </w:p>
    <w:tbl>
      <w:tblPr>
        <w:tblW w:w="14454"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206"/>
        <w:gridCol w:w="14247"/>
      </w:tblGrid>
      <w:tr>
        <w:trPr>
          <w:tblHeader w:val="true"/>
        </w:trPr>
        <w:tc>
          <w:tcPr>
            <w:tcW w:w="14453" w:type="dxa"/>
            <w:gridSpan w:val="2"/>
            <w:tcBorders>
              <w:top w:val="single" w:sz="4" w:space="0" w:color="000000"/>
              <w:left w:val="single" w:sz="4" w:space="0" w:color="000000"/>
              <w:bottom w:val="single" w:sz="4" w:space="0" w:color="000000"/>
              <w:right w:val="single" w:sz="4" w:space="0" w:color="000000"/>
            </w:tcBorders>
            <w:shd w:color="auto" w:fill="FFFFFF" w:val="pct12"/>
          </w:tcPr>
          <w:p>
            <w:pPr>
              <w:pStyle w:val="Normal"/>
              <w:tabs>
                <w:tab w:val="clear" w:pos="709"/>
                <w:tab w:val="left" w:pos="1875" w:leader="none"/>
              </w:tabs>
              <w:suppressAutoHyphens w:val="false"/>
              <w:ind w:right="113"/>
              <w:jc w:val="both"/>
              <w:rPr>
                <w:rFonts w:ascii="Calibri" w:hAnsi="Calibri"/>
                <w:b/>
                <w:sz w:val="22"/>
                <w:lang w:eastAsia="de-DE"/>
              </w:rPr>
            </w:pPr>
            <w:r>
              <w:rPr>
                <w:rFonts w:ascii="Calibri" w:hAnsi="Calibri"/>
                <w:b/>
                <w:sz w:val="22"/>
                <w:lang w:eastAsia="de-DE"/>
              </w:rPr>
              <w:t>Anregung</w:t>
            </w:r>
          </w:p>
        </w:tc>
      </w:tr>
      <w:tr>
        <w:trPr/>
        <w:tc>
          <w:tcPr>
            <w:tcW w:w="206" w:type="dxa"/>
            <w:tcBorders>
              <w:top w:val="single" w:sz="4" w:space="0" w:color="000000"/>
              <w:left w:val="single" w:sz="4" w:space="0" w:color="000000"/>
              <w:bottom w:val="single" w:sz="4" w:space="0" w:color="000000"/>
            </w:tcBorders>
          </w:tcPr>
          <w:p>
            <w:pPr>
              <w:pStyle w:val="Normal"/>
              <w:widowControl w:val="false"/>
              <w:tabs>
                <w:tab w:val="clear" w:pos="709"/>
                <w:tab w:val="left" w:pos="708" w:leader="none"/>
                <w:tab w:val="center" w:pos="4536" w:leader="none"/>
                <w:tab w:val="right" w:pos="9072" w:leader="none"/>
              </w:tabs>
              <w:suppressAutoHyphens w:val="false"/>
              <w:ind w:right="113"/>
              <w:jc w:val="right"/>
              <w:rPr>
                <w:rFonts w:ascii="Calibri" w:hAnsi="Calibri" w:cs="Calibri"/>
                <w:sz w:val="22"/>
                <w:szCs w:val="22"/>
                <w:lang w:eastAsia="de-DE"/>
              </w:rPr>
            </w:pPr>
            <w:r>
              <w:rPr>
                <w:rFonts w:cs="Calibri" w:ascii="Calibri" w:hAnsi="Calibri"/>
                <w:sz w:val="22"/>
                <w:szCs w:val="22"/>
                <w:lang w:eastAsia="de-DE"/>
              </w:rPr>
            </w:r>
          </w:p>
        </w:tc>
        <w:tc>
          <w:tcPr>
            <w:tcW w:w="14247" w:type="dxa"/>
            <w:tcBorders>
              <w:top w:val="single" w:sz="4" w:space="0" w:color="000000"/>
              <w:bottom w:val="single" w:sz="4" w:space="0" w:color="000000"/>
              <w:right w:val="single" w:sz="4" w:space="0" w:color="000000"/>
            </w:tcBorders>
          </w:tcPr>
          <w:p>
            <w:pPr>
              <w:pStyle w:val="Normal"/>
              <w:widowControl w:val="false"/>
              <w:shd w:val="clear" w:color="auto" w:fill="FFFFFF"/>
              <w:suppressAutoHyphens w:val="false"/>
              <w:spacing w:lineRule="exact" w:line="254"/>
              <w:ind w:right="420"/>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r>
          </w:p>
          <w:p>
            <w:pPr>
              <w:pStyle w:val="Normal"/>
              <w:widowControl w:val="false"/>
              <w:suppressAutoHyphens w:val="false"/>
              <w:spacing w:lineRule="exact" w:line="264"/>
              <w:ind w:right="220"/>
              <w:rPr>
                <w:rFonts w:ascii="Calibri" w:hAnsi="Calibri"/>
                <w:sz w:val="22"/>
                <w:lang w:eastAsia="de-DE"/>
              </w:rPr>
            </w:pPr>
            <w:r>
              <w:rPr>
                <w:rFonts w:ascii="Calibri" w:hAnsi="Calibri"/>
                <w:sz w:val="22"/>
                <w:lang w:eastAsia="de-DE"/>
              </w:rPr>
              <w:t xml:space="preserve">durch die oben aufgeführte Planung werden Belange der DFS Deutsche Flugsicherung GmbH bezüglich §18a Luftverkehrsgesetz (LuftVG) nicht berührt. Es werden daher unsererseits weder Bedenken noch Anregungen vorgebracht. Eine weitere Beteiligung am Verfahren ist nicht notwendig. </w:t>
            </w:r>
          </w:p>
          <w:p>
            <w:pPr>
              <w:pStyle w:val="Normal"/>
              <w:widowControl w:val="false"/>
              <w:suppressAutoHyphens w:val="false"/>
              <w:spacing w:lineRule="exact" w:line="264"/>
              <w:ind w:right="220"/>
              <w:rPr>
                <w:rFonts w:ascii="Calibri" w:hAnsi="Calibri"/>
                <w:sz w:val="22"/>
                <w:lang w:eastAsia="de-DE"/>
              </w:rPr>
            </w:pPr>
            <w:r>
              <w:rPr>
                <w:rFonts w:ascii="Calibri" w:hAnsi="Calibri"/>
                <w:sz w:val="22"/>
                <w:lang w:eastAsia="de-DE"/>
              </w:rPr>
            </w:r>
          </w:p>
          <w:p>
            <w:pPr>
              <w:pStyle w:val="Normal"/>
              <w:widowControl w:val="false"/>
              <w:suppressAutoHyphens w:val="false"/>
              <w:spacing w:lineRule="exact" w:line="264"/>
              <w:ind w:right="220"/>
              <w:rPr>
                <w:rFonts w:ascii="Calibri" w:hAnsi="Calibri"/>
                <w:sz w:val="22"/>
                <w:lang w:eastAsia="de-DE"/>
              </w:rPr>
            </w:pPr>
            <w:r>
              <w:rPr>
                <w:rFonts w:ascii="Calibri" w:hAnsi="Calibri"/>
                <w:sz w:val="22"/>
                <w:lang w:eastAsia="de-DE"/>
              </w:rPr>
              <w:t>Von dieser Stellungnahme bleiben die Aufgaben der Länder gemäß § 31 LuftVG unberührt.</w:t>
            </w:r>
          </w:p>
          <w:p>
            <w:pPr>
              <w:pStyle w:val="Normal"/>
              <w:widowControl w:val="false"/>
              <w:suppressAutoHyphens w:val="false"/>
              <w:spacing w:lineRule="exact" w:line="264"/>
              <w:ind w:right="220"/>
              <w:rPr>
                <w:rFonts w:ascii="Calibri" w:hAnsi="Calibri"/>
                <w:sz w:val="22"/>
                <w:lang w:eastAsia="de-DE"/>
              </w:rPr>
            </w:pPr>
            <w:r>
              <w:rPr>
                <w:rFonts w:ascii="Calibri" w:hAnsi="Calibri"/>
                <w:sz w:val="22"/>
                <w:lang w:eastAsia="de-DE"/>
              </w:rPr>
            </w:r>
          </w:p>
          <w:p>
            <w:pPr>
              <w:pStyle w:val="Normal"/>
              <w:widowControl w:val="false"/>
              <w:suppressAutoHyphens w:val="false"/>
              <w:spacing w:lineRule="exact" w:line="264"/>
              <w:ind w:right="220"/>
              <w:rPr>
                <w:rFonts w:ascii="Calibri" w:hAnsi="Calibri" w:eastAsia="Arial Narrow" w:cs="Calibri"/>
                <w:bCs/>
                <w:sz w:val="22"/>
                <w:szCs w:val="22"/>
                <w:shd w:fill="FFFFFF" w:val="clear"/>
                <w:lang w:eastAsia="de-DE"/>
              </w:rPr>
            </w:pPr>
            <w:r>
              <w:rPr>
                <w:rFonts w:ascii="Calibri" w:hAnsi="Calibri"/>
                <w:sz w:val="22"/>
                <w:lang w:eastAsia="de-DE"/>
              </w:rPr>
              <w:t xml:space="preserve"> </w:t>
            </w:r>
            <w:r>
              <w:rPr>
                <w:rFonts w:ascii="Calibri" w:hAnsi="Calibri"/>
                <w:sz w:val="22"/>
                <w:lang w:eastAsia="de-DE"/>
              </w:rPr>
              <w:t>Wir haben das Bundesaufsichtsamt für Flugsicherung (BAF) von unserer Stellungnahme informiert.</w:t>
            </w:r>
          </w:p>
        </w:tc>
      </w:tr>
    </w:tbl>
    <w:p>
      <w:pPr>
        <w:pStyle w:val="Normal"/>
        <w:keepNext w:val="true"/>
        <w:numPr>
          <w:ilvl w:val="0"/>
          <w:numId w:val="4"/>
        </w:numPr>
        <w:tabs>
          <w:tab w:val="clear" w:pos="709"/>
          <w:tab w:val="left" w:pos="2694" w:leader="none"/>
          <w:tab w:val="left" w:pos="8505" w:leader="none"/>
        </w:tabs>
        <w:suppressAutoHyphens w:val="false"/>
        <w:spacing w:before="360" w:after="100"/>
        <w:ind w:hanging="432" w:left="858" w:right="-29"/>
        <w:jc w:val="both"/>
        <w:outlineLvl w:val="0"/>
        <w:rPr>
          <w:rFonts w:ascii="Calibri" w:hAnsi="Calibri"/>
          <w:b/>
          <w:sz w:val="22"/>
          <w:lang w:eastAsia="de-DE"/>
        </w:rPr>
      </w:pPr>
      <w:bookmarkStart w:id="9" w:name="_Toc122069578"/>
      <w:r>
        <w:rPr>
          <w:rFonts w:ascii="Calibri" w:hAnsi="Calibri"/>
          <w:b/>
          <w:sz w:val="22"/>
          <w:lang w:eastAsia="de-DE"/>
        </w:rPr>
        <w:t>Deutsche Telekom Technik GmbH</w:t>
      </w:r>
      <w:bookmarkEnd w:id="9"/>
      <w:r>
        <w:rPr>
          <w:rFonts w:ascii="Calibri" w:hAnsi="Calibri"/>
          <w:b/>
          <w:sz w:val="22"/>
          <w:lang w:eastAsia="de-DE"/>
        </w:rPr>
        <w:t>, TI NL Mitte PTI 14, Bauleitplanung</w:t>
      </w:r>
    </w:p>
    <w:tbl>
      <w:tblPr>
        <w:tblW w:w="14454"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206"/>
        <w:gridCol w:w="14247"/>
      </w:tblGrid>
      <w:tr>
        <w:trPr>
          <w:tblHeader w:val="true"/>
        </w:trPr>
        <w:tc>
          <w:tcPr>
            <w:tcW w:w="14453" w:type="dxa"/>
            <w:gridSpan w:val="2"/>
            <w:tcBorders>
              <w:top w:val="single" w:sz="4" w:space="0" w:color="000000"/>
              <w:left w:val="single" w:sz="4" w:space="0" w:color="000000"/>
              <w:bottom w:val="single" w:sz="4" w:space="0" w:color="000000"/>
              <w:right w:val="single" w:sz="4" w:space="0" w:color="000000"/>
            </w:tcBorders>
            <w:shd w:color="auto" w:fill="FFFFFF" w:val="pct12"/>
          </w:tcPr>
          <w:p>
            <w:pPr>
              <w:pStyle w:val="Normal"/>
              <w:tabs>
                <w:tab w:val="clear" w:pos="709"/>
                <w:tab w:val="left" w:pos="1875" w:leader="none"/>
              </w:tabs>
              <w:suppressAutoHyphens w:val="false"/>
              <w:ind w:right="113"/>
              <w:jc w:val="both"/>
              <w:rPr>
                <w:rFonts w:ascii="Calibri" w:hAnsi="Calibri"/>
                <w:b/>
                <w:sz w:val="22"/>
                <w:lang w:eastAsia="de-DE"/>
              </w:rPr>
            </w:pPr>
            <w:r>
              <w:rPr>
                <w:rFonts w:ascii="Calibri" w:hAnsi="Calibri"/>
                <w:b/>
                <w:sz w:val="22"/>
                <w:lang w:eastAsia="de-DE"/>
              </w:rPr>
              <w:t>Anregung</w:t>
            </w:r>
          </w:p>
        </w:tc>
      </w:tr>
      <w:tr>
        <w:trPr/>
        <w:tc>
          <w:tcPr>
            <w:tcW w:w="206" w:type="dxa"/>
            <w:tcBorders>
              <w:top w:val="single" w:sz="4" w:space="0" w:color="000000"/>
              <w:left w:val="single" w:sz="4" w:space="0" w:color="000000"/>
              <w:bottom w:val="single" w:sz="4" w:space="0" w:color="000000"/>
            </w:tcBorders>
          </w:tcPr>
          <w:p>
            <w:pPr>
              <w:pStyle w:val="Normal"/>
              <w:widowControl w:val="false"/>
              <w:tabs>
                <w:tab w:val="clear" w:pos="709"/>
                <w:tab w:val="left" w:pos="708" w:leader="none"/>
                <w:tab w:val="center" w:pos="4536" w:leader="none"/>
                <w:tab w:val="right" w:pos="9072" w:leader="none"/>
              </w:tabs>
              <w:suppressAutoHyphens w:val="false"/>
              <w:ind w:right="113"/>
              <w:jc w:val="right"/>
              <w:rPr>
                <w:rFonts w:ascii="Calibri" w:hAnsi="Calibri"/>
                <w:sz w:val="16"/>
                <w:highlight w:val="yellow"/>
                <w:lang w:eastAsia="de-DE"/>
              </w:rPr>
            </w:pPr>
            <w:r>
              <w:rPr>
                <w:rFonts w:ascii="Calibri" w:hAnsi="Calibri"/>
                <w:sz w:val="16"/>
                <w:highlight w:val="yellow"/>
                <w:lang w:eastAsia="de-DE"/>
              </w:rPr>
            </w:r>
          </w:p>
        </w:tc>
        <w:tc>
          <w:tcPr>
            <w:tcW w:w="14247" w:type="dxa"/>
            <w:tcBorders>
              <w:top w:val="single" w:sz="4" w:space="0" w:color="000000"/>
              <w:bottom w:val="single" w:sz="4" w:space="0" w:color="000000"/>
              <w:right w:val="single" w:sz="4" w:space="0" w:color="000000"/>
            </w:tcBorders>
          </w:tcPr>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r>
          </w:p>
          <w:p>
            <w:pPr>
              <w:pStyle w:val="Normal"/>
              <w:suppressAutoHyphens w:val="false"/>
              <w:ind w:right="113"/>
              <w:jc w:val="both"/>
              <w:rPr>
                <w:rFonts w:ascii="Calibri" w:hAnsi="Calibri"/>
                <w:sz w:val="22"/>
                <w:lang w:eastAsia="de-DE"/>
              </w:rPr>
            </w:pPr>
            <w:r>
              <w:rPr>
                <w:rFonts w:ascii="Calibri" w:hAnsi="Calibri"/>
                <w:sz w:val="22"/>
                <w:lang w:eastAsia="de-DE"/>
              </w:rPr>
              <w:t>Gegen die o. a. Planung haben wir keine Einwände. Wir weisen jedoch auf folgendes hin:</w:t>
            </w:r>
          </w:p>
          <w:p>
            <w:pPr>
              <w:pStyle w:val="Normal"/>
              <w:suppressAutoHyphens w:val="false"/>
              <w:ind w:right="113"/>
              <w:jc w:val="both"/>
              <w:rPr>
                <w:rFonts w:ascii="Calibri" w:hAnsi="Calibri"/>
                <w:sz w:val="22"/>
                <w:lang w:eastAsia="de-DE"/>
              </w:rPr>
            </w:pPr>
            <w:r>
              <w:rPr>
                <w:rFonts w:ascii="Calibri" w:hAnsi="Calibri"/>
                <w:sz w:val="22"/>
                <w:lang w:eastAsia="de-DE"/>
              </w:rPr>
            </w:r>
          </w:p>
          <w:p>
            <w:pPr>
              <w:pStyle w:val="Normal"/>
              <w:suppressAutoHyphens w:val="false"/>
              <w:ind w:right="113"/>
              <w:jc w:val="both"/>
              <w:rPr>
                <w:rFonts w:ascii="Calibri" w:hAnsi="Calibri"/>
                <w:sz w:val="22"/>
                <w:lang w:eastAsia="de-DE"/>
              </w:rPr>
            </w:pPr>
            <w:r>
              <w:rPr>
                <w:rFonts w:ascii="Calibri" w:hAnsi="Calibri"/>
                <w:sz w:val="22"/>
                <w:lang w:eastAsia="de-DE"/>
              </w:rPr>
              <w:t xml:space="preserve"> </w:t>
            </w:r>
            <w:r>
              <w:rPr>
                <w:rFonts w:ascii="Calibri" w:hAnsi="Calibri"/>
                <w:sz w:val="22"/>
                <w:lang w:eastAsia="de-DE"/>
              </w:rPr>
              <w:t xml:space="preserve">Im Planbereich befinden sich noch keine Telekommunikationslinien der Telekom Deutschland GmbH zur Versorgung des o. g. Neubaugebietes mit Telekommunikationsinfrastruktur durch die Telekom Deutschland GmbH. Daher ist die Verlegung neuer Telekommunikationslinien (TK-Linien) erforderlich. </w:t>
            </w:r>
          </w:p>
          <w:p>
            <w:pPr>
              <w:pStyle w:val="Normal"/>
              <w:suppressAutoHyphens w:val="false"/>
              <w:ind w:right="113"/>
              <w:jc w:val="both"/>
              <w:rPr>
                <w:rFonts w:ascii="Calibri" w:hAnsi="Calibri"/>
                <w:sz w:val="22"/>
                <w:lang w:eastAsia="de-DE"/>
              </w:rPr>
            </w:pPr>
            <w:r>
              <w:rPr>
                <w:rFonts w:ascii="Calibri" w:hAnsi="Calibri"/>
                <w:sz w:val="22"/>
                <w:lang w:eastAsia="de-DE"/>
              </w:rPr>
            </w:r>
          </w:p>
          <w:p>
            <w:pPr>
              <w:pStyle w:val="Normal"/>
              <w:suppressAutoHyphens w:val="false"/>
              <w:ind w:right="113"/>
              <w:jc w:val="both"/>
              <w:rPr>
                <w:rFonts w:ascii="Calibri" w:hAnsi="Calibri"/>
                <w:sz w:val="22"/>
                <w:lang w:eastAsia="de-DE"/>
              </w:rPr>
            </w:pPr>
            <w:r>
              <w:rPr>
                <w:rFonts w:ascii="Calibri" w:hAnsi="Calibri"/>
                <w:sz w:val="22"/>
                <w:lang w:eastAsia="de-DE"/>
              </w:rPr>
              <w:t xml:space="preserve">Daher beantragen wir folgendes sicherzustellen, </w:t>
            </w:r>
          </w:p>
          <w:p>
            <w:pPr>
              <w:pStyle w:val="Normal"/>
              <w:suppressAutoHyphens w:val="false"/>
              <w:ind w:right="113"/>
              <w:jc w:val="both"/>
              <w:rPr>
                <w:rFonts w:ascii="Calibri" w:hAnsi="Calibri"/>
                <w:sz w:val="22"/>
                <w:lang w:eastAsia="de-DE"/>
              </w:rPr>
            </w:pPr>
            <w:r>
              <w:rPr>
                <w:rFonts w:ascii="Calibri" w:hAnsi="Calibri"/>
                <w:sz w:val="22"/>
                <w:lang w:eastAsia="de-DE"/>
              </w:rPr>
              <w:t>- dass für den Ausbau des Telekommunikationsliniennetzes im Erschließungsgebiet eine ungehinderte, unentgeltliche und kostenfreie Nutzung der künftigen Straßen und Wege möglich ist,</w:t>
            </w:r>
          </w:p>
          <w:p>
            <w:pPr>
              <w:pStyle w:val="Normal"/>
              <w:suppressAutoHyphens w:val="false"/>
              <w:ind w:right="113"/>
              <w:jc w:val="both"/>
              <w:rPr>
                <w:rFonts w:ascii="Calibri" w:hAnsi="Calibri"/>
                <w:sz w:val="22"/>
                <w:lang w:eastAsia="de-DE"/>
              </w:rPr>
            </w:pPr>
            <w:r>
              <w:rPr>
                <w:rFonts w:ascii="Calibri" w:hAnsi="Calibri"/>
                <w:sz w:val="22"/>
                <w:lang w:eastAsia="de-DE"/>
              </w:rPr>
              <w:t xml:space="preserve"> </w:t>
            </w:r>
            <w:r>
              <w:rPr>
                <w:rFonts w:ascii="Calibri" w:hAnsi="Calibri"/>
                <w:sz w:val="22"/>
                <w:lang w:eastAsia="de-DE"/>
              </w:rPr>
              <w:t xml:space="preserve">- dass auf Privatwegen (Eigentümerwegen) ein Leitungsrecht zugunsten der Telekom Deutschland GmbH als zu belastende Fläche festzusetzen entsprechend § 9 (1) Ziffer 21 BauGB eingeräumt wird, </w:t>
            </w:r>
          </w:p>
          <w:p>
            <w:pPr>
              <w:pStyle w:val="Normal"/>
              <w:suppressAutoHyphens w:val="false"/>
              <w:ind w:right="113"/>
              <w:jc w:val="both"/>
              <w:rPr>
                <w:rFonts w:ascii="Calibri" w:hAnsi="Calibri"/>
                <w:sz w:val="22"/>
                <w:lang w:eastAsia="de-DE"/>
              </w:rPr>
            </w:pPr>
            <w:r>
              <w:rPr>
                <w:rFonts w:ascii="Calibri" w:hAnsi="Calibri"/>
                <w:sz w:val="22"/>
                <w:lang w:eastAsia="de-DE"/>
              </w:rPr>
              <w:t xml:space="preserve">- dass eine rechtzeitige Abstimmung der Lage und der Dimensionierung der Leitungszonen nach DIN 1998 vorgenommen wird und eine Koordinierung der Tiefbaumaßnahmen für Straßenbau und Leitungsbau durch den Erschließungsträger erfolgt. </w:t>
            </w:r>
          </w:p>
          <w:p>
            <w:pPr>
              <w:pStyle w:val="Normal"/>
              <w:suppressAutoHyphens w:val="false"/>
              <w:ind w:right="113"/>
              <w:jc w:val="both"/>
              <w:rPr>
                <w:rFonts w:ascii="Calibri" w:hAnsi="Calibri"/>
                <w:sz w:val="22"/>
                <w:lang w:eastAsia="de-DE"/>
              </w:rPr>
            </w:pPr>
            <w:r>
              <w:rPr>
                <w:rFonts w:ascii="Calibri" w:hAnsi="Calibri"/>
                <w:sz w:val="22"/>
                <w:lang w:eastAsia="de-DE"/>
              </w:rPr>
            </w:r>
          </w:p>
          <w:p>
            <w:pPr>
              <w:pStyle w:val="Normal"/>
              <w:suppressAutoHyphens w:val="false"/>
              <w:ind w:right="113"/>
              <w:jc w:val="both"/>
              <w:rPr>
                <w:rFonts w:ascii="Calibri" w:hAnsi="Calibri"/>
                <w:sz w:val="22"/>
                <w:lang w:eastAsia="de-DE"/>
              </w:rPr>
            </w:pPr>
            <w:r>
              <w:rPr>
                <w:rFonts w:ascii="Calibri" w:hAnsi="Calibri"/>
                <w:sz w:val="22"/>
                <w:lang w:eastAsia="de-DE"/>
              </w:rPr>
              <w:t xml:space="preserve">Wir bitten folgenden fachlichen Hinweis in die Begründung des Bebauungsplanes aufzunehmen. In allen Straßen bzw. Gehwegen sind geeignete und ausreichende Trassen mit einer Leitungszone in einer Breite von ca. 0,30 m für die Unterbringung der Telekommunikationslinien vorzusehen. Hinsichtlich geplanter Baumpflanzungen ist das „Merkblatt Bäume, unterirdische Leitungen und Kanäle" der Forschungsgesellschaft für Straßen- und Verkehrswesen, Ausgabe 2013 zu beachten. Wir bitten sicherzustellen, dass durch die Baumpflanzungen der Bau, die Unterhaltung und Erweiterung der Telekommunikationslinien nicht behindert werden. </w:t>
            </w:r>
          </w:p>
          <w:p>
            <w:pPr>
              <w:pStyle w:val="Normal"/>
              <w:suppressAutoHyphens w:val="false"/>
              <w:ind w:right="113"/>
              <w:jc w:val="both"/>
              <w:rPr>
                <w:rFonts w:ascii="Calibri" w:hAnsi="Calibri"/>
                <w:sz w:val="22"/>
                <w:lang w:eastAsia="de-DE"/>
              </w:rPr>
            </w:pPr>
            <w:r>
              <w:rPr>
                <w:rFonts w:ascii="Calibri" w:hAnsi="Calibri"/>
                <w:sz w:val="22"/>
                <w:lang w:eastAsia="de-DE"/>
              </w:rPr>
            </w:r>
          </w:p>
          <w:p>
            <w:pPr>
              <w:pStyle w:val="Normal"/>
              <w:suppressAutoHyphens w:val="false"/>
              <w:ind w:right="113"/>
              <w:jc w:val="both"/>
              <w:rPr>
                <w:rFonts w:ascii="Calibri" w:hAnsi="Calibri"/>
                <w:sz w:val="22"/>
                <w:lang w:eastAsia="de-DE"/>
              </w:rPr>
            </w:pPr>
            <w:r>
              <w:rPr>
                <w:rFonts w:ascii="Calibri" w:hAnsi="Calibri"/>
                <w:sz w:val="22"/>
                <w:lang w:eastAsia="de-DE"/>
              </w:rPr>
              <w:t>Für den rechtzeitigen Ausbau des Telekommunikationsnetzes sowie die Koordinierung mit dem Straßenbau und den Baumaßnahmen der anderen Leitungsträger ist es notwendig, dass für die Arbeiten der Telekom Deutschland GmbH ein mit uns abgestimmtes eigenes Zeitfenster eingeplant wird.</w:t>
            </w:r>
          </w:p>
          <w:p>
            <w:pPr>
              <w:pStyle w:val="Normal"/>
              <w:suppressAutoHyphens w:val="false"/>
              <w:ind w:right="113"/>
              <w:jc w:val="both"/>
              <w:rPr>
                <w:rFonts w:ascii="Calibri" w:hAnsi="Calibri"/>
                <w:sz w:val="22"/>
                <w:lang w:eastAsia="de-DE"/>
              </w:rPr>
            </w:pPr>
            <w:r>
              <w:rPr>
                <w:rFonts w:ascii="Calibri" w:hAnsi="Calibri"/>
                <w:sz w:val="22"/>
                <w:lang w:eastAsia="de-DE"/>
              </w:rPr>
            </w:r>
          </w:p>
          <w:p>
            <w:pPr>
              <w:pStyle w:val="Normal"/>
              <w:suppressAutoHyphens w:val="false"/>
              <w:ind w:right="113"/>
              <w:jc w:val="both"/>
              <w:rPr>
                <w:rFonts w:ascii="Calibri" w:hAnsi="Calibri"/>
                <w:sz w:val="22"/>
                <w:lang w:eastAsia="de-DE"/>
              </w:rPr>
            </w:pPr>
            <w:r>
              <w:rPr>
                <w:rFonts w:ascii="Calibri" w:hAnsi="Calibri"/>
                <w:sz w:val="22"/>
                <w:lang w:eastAsia="de-DE"/>
              </w:rPr>
              <w:t>Bitte informieren Sie uns 4 Monate vor Beginn der Erschließungsarbeiten, damit alle Koordinationsvorteile für den Aufbau der Telekommunikationsversorgung genutzt werden können.</w:t>
            </w:r>
          </w:p>
          <w:p>
            <w:pPr>
              <w:pStyle w:val="Normal"/>
              <w:suppressAutoHyphens w:val="false"/>
              <w:ind w:right="113"/>
              <w:jc w:val="both"/>
              <w:rPr>
                <w:rFonts w:ascii="Calibri" w:hAnsi="Calibri"/>
                <w:sz w:val="22"/>
                <w:lang w:eastAsia="de-DE"/>
              </w:rPr>
            </w:pPr>
            <w:r>
              <w:rPr>
                <w:rFonts w:ascii="Calibri" w:hAnsi="Calibri"/>
                <w:sz w:val="22"/>
                <w:lang w:eastAsia="de-DE"/>
              </w:rPr>
            </w:r>
          </w:p>
          <w:p>
            <w:pPr>
              <w:pStyle w:val="Normal"/>
              <w:suppressAutoHyphens w:val="false"/>
              <w:ind w:right="113"/>
              <w:jc w:val="both"/>
              <w:rPr>
                <w:rFonts w:ascii="Calibri" w:hAnsi="Calibri" w:eastAsia="Calibri"/>
                <w:sz w:val="22"/>
                <w:lang w:eastAsia="de-DE"/>
              </w:rPr>
            </w:pPr>
            <w:r>
              <w:rPr>
                <w:rFonts w:ascii="Calibri" w:hAnsi="Calibri"/>
                <w:sz w:val="22"/>
                <w:lang w:eastAsia="de-DE"/>
              </w:rPr>
              <w:t xml:space="preserve"> </w:t>
            </w:r>
            <w:r>
              <w:rPr>
                <w:rFonts w:ascii="Calibri" w:hAnsi="Calibri"/>
                <w:sz w:val="22"/>
                <w:lang w:eastAsia="de-DE"/>
              </w:rPr>
              <w:t>Bitte beteiligen Sie uns weiterhin im Rahmen des Bauleitplanverfahrens bei der Aufstellung von Bebauungsplänen gemäß § 4 des BauGB.</w:t>
            </w:r>
          </w:p>
        </w:tc>
      </w:tr>
    </w:tbl>
    <w:p>
      <w:pPr>
        <w:pStyle w:val="Normal"/>
        <w:keepNext w:val="true"/>
        <w:numPr>
          <w:ilvl w:val="0"/>
          <w:numId w:val="4"/>
        </w:numPr>
        <w:tabs>
          <w:tab w:val="clear" w:pos="709"/>
          <w:tab w:val="left" w:pos="2694" w:leader="none"/>
          <w:tab w:val="left" w:pos="8505" w:leader="none"/>
        </w:tabs>
        <w:suppressAutoHyphens w:val="false"/>
        <w:spacing w:before="360" w:after="100"/>
        <w:ind w:hanging="432" w:left="858" w:right="-29"/>
        <w:jc w:val="both"/>
        <w:outlineLvl w:val="0"/>
        <w:rPr>
          <w:rFonts w:ascii="Calibri" w:hAnsi="Calibri"/>
          <w:b/>
          <w:sz w:val="22"/>
          <w:lang w:eastAsia="de-DE"/>
        </w:rPr>
      </w:pPr>
      <w:bookmarkStart w:id="10" w:name="_Toc122069579"/>
      <w:r>
        <w:rPr>
          <w:rFonts w:ascii="Calibri" w:hAnsi="Calibri"/>
          <w:b/>
          <w:sz w:val="22"/>
          <w:lang w:eastAsia="de-DE"/>
        </w:rPr>
        <w:t>Deutscher Wetterdienst</w:t>
      </w:r>
      <w:bookmarkEnd w:id="10"/>
    </w:p>
    <w:tbl>
      <w:tblPr>
        <w:tblW w:w="14454"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206"/>
        <w:gridCol w:w="14247"/>
      </w:tblGrid>
      <w:tr>
        <w:trPr>
          <w:tblHeader w:val="true"/>
        </w:trPr>
        <w:tc>
          <w:tcPr>
            <w:tcW w:w="14453" w:type="dxa"/>
            <w:gridSpan w:val="2"/>
            <w:tcBorders>
              <w:top w:val="single" w:sz="4" w:space="0" w:color="000000"/>
              <w:left w:val="single" w:sz="4" w:space="0" w:color="000000"/>
              <w:bottom w:val="single" w:sz="4" w:space="0" w:color="000000"/>
              <w:right w:val="single" w:sz="4" w:space="0" w:color="000000"/>
            </w:tcBorders>
            <w:shd w:color="auto" w:fill="FFFFFF" w:val="pct12"/>
          </w:tcPr>
          <w:p>
            <w:pPr>
              <w:pStyle w:val="Normal"/>
              <w:tabs>
                <w:tab w:val="clear" w:pos="709"/>
                <w:tab w:val="left" w:pos="1875" w:leader="none"/>
              </w:tabs>
              <w:suppressAutoHyphens w:val="false"/>
              <w:ind w:right="113"/>
              <w:jc w:val="both"/>
              <w:rPr>
                <w:rFonts w:ascii="Calibri" w:hAnsi="Calibri"/>
                <w:b/>
                <w:sz w:val="22"/>
                <w:lang w:eastAsia="de-DE"/>
              </w:rPr>
            </w:pPr>
            <w:r>
              <w:rPr>
                <w:rFonts w:ascii="Calibri" w:hAnsi="Calibri"/>
                <w:b/>
                <w:sz w:val="22"/>
                <w:lang w:eastAsia="de-DE"/>
              </w:rPr>
              <w:t>Anregung</w:t>
            </w:r>
          </w:p>
        </w:tc>
      </w:tr>
      <w:tr>
        <w:trPr/>
        <w:tc>
          <w:tcPr>
            <w:tcW w:w="206" w:type="dxa"/>
            <w:tcBorders>
              <w:top w:val="single" w:sz="4" w:space="0" w:color="000000"/>
              <w:left w:val="single" w:sz="4" w:space="0" w:color="000000"/>
              <w:bottom w:val="single" w:sz="4" w:space="0" w:color="000000"/>
            </w:tcBorders>
          </w:tcPr>
          <w:p>
            <w:pPr>
              <w:pStyle w:val="Normal"/>
              <w:widowControl w:val="false"/>
              <w:tabs>
                <w:tab w:val="clear" w:pos="709"/>
                <w:tab w:val="left" w:pos="708" w:leader="none"/>
                <w:tab w:val="center" w:pos="4536" w:leader="none"/>
                <w:tab w:val="right" w:pos="9072" w:leader="none"/>
              </w:tabs>
              <w:suppressAutoHyphens w:val="false"/>
              <w:ind w:right="113"/>
              <w:jc w:val="right"/>
              <w:rPr>
                <w:rFonts w:ascii="Calibri" w:hAnsi="Calibri"/>
                <w:sz w:val="16"/>
                <w:highlight w:val="yellow"/>
                <w:lang w:eastAsia="de-DE"/>
              </w:rPr>
            </w:pPr>
            <w:r>
              <w:rPr>
                <w:rFonts w:ascii="Calibri" w:hAnsi="Calibri"/>
                <w:sz w:val="16"/>
                <w:highlight w:val="yellow"/>
                <w:lang w:eastAsia="de-DE"/>
              </w:rPr>
            </w:r>
          </w:p>
        </w:tc>
        <w:tc>
          <w:tcPr>
            <w:tcW w:w="14247" w:type="dxa"/>
            <w:tcBorders>
              <w:top w:val="single" w:sz="4" w:space="0" w:color="000000"/>
              <w:bottom w:val="single" w:sz="4" w:space="0" w:color="000000"/>
              <w:right w:val="single" w:sz="4" w:space="0" w:color="000000"/>
            </w:tcBorders>
          </w:tcPr>
          <w:p>
            <w:pPr>
              <w:pStyle w:val="Normal"/>
              <w:suppressAutoHyphens w:val="false"/>
              <w:ind w:right="113"/>
              <w:jc w:val="both"/>
              <w:rPr>
                <w:rFonts w:ascii="Calibri" w:hAnsi="Calibri" w:eastAsia="Calibri"/>
                <w:sz w:val="22"/>
                <w:highlight w:val="yellow"/>
                <w:lang w:eastAsia="de-DE"/>
              </w:rPr>
            </w:pPr>
            <w:r>
              <w:rPr>
                <w:rFonts w:eastAsia="Calibri" w:ascii="Calibri" w:hAnsi="Calibri"/>
                <w:sz w:val="22"/>
                <w:highlight w:val="yellow"/>
                <w:lang w:eastAsia="de-DE"/>
              </w:rPr>
            </w:r>
          </w:p>
          <w:p>
            <w:pPr>
              <w:pStyle w:val="Normal"/>
              <w:suppressAutoHyphens w:val="false"/>
              <w:ind w:right="113"/>
              <w:jc w:val="both"/>
              <w:rPr>
                <w:rFonts w:ascii="Calibri" w:hAnsi="Calibri"/>
                <w:sz w:val="22"/>
                <w:lang w:eastAsia="de-DE"/>
              </w:rPr>
            </w:pPr>
            <w:r>
              <w:rPr>
                <w:rFonts w:ascii="Calibri" w:hAnsi="Calibri"/>
                <w:sz w:val="22"/>
                <w:lang w:eastAsia="de-DE"/>
              </w:rPr>
              <w:t>im Namen des Deutschen Wetterdienstes (DWD) bedanke ich mich als Träger öffentlicher Belange für die Beteiligung an o. g. Vorhaben.</w:t>
            </w:r>
          </w:p>
          <w:p>
            <w:pPr>
              <w:pStyle w:val="Normal"/>
              <w:suppressAutoHyphens w:val="false"/>
              <w:ind w:right="113"/>
              <w:jc w:val="both"/>
              <w:rPr>
                <w:rFonts w:ascii="Calibri" w:hAnsi="Calibri"/>
                <w:sz w:val="22"/>
                <w:lang w:eastAsia="de-DE"/>
              </w:rPr>
            </w:pPr>
            <w:r>
              <w:rPr>
                <w:rFonts w:ascii="Calibri" w:hAnsi="Calibri"/>
                <w:sz w:val="22"/>
                <w:lang w:eastAsia="de-DE"/>
              </w:rPr>
            </w:r>
          </w:p>
          <w:p>
            <w:pPr>
              <w:pStyle w:val="Normal"/>
              <w:suppressAutoHyphens w:val="false"/>
              <w:ind w:right="113"/>
              <w:jc w:val="both"/>
              <w:rPr>
                <w:rFonts w:ascii="Calibri" w:hAnsi="Calibri"/>
                <w:sz w:val="22"/>
                <w:lang w:eastAsia="de-DE"/>
              </w:rPr>
            </w:pPr>
            <w:r>
              <w:rPr>
                <w:rFonts w:ascii="Calibri" w:hAnsi="Calibri"/>
                <w:sz w:val="22"/>
                <w:lang w:eastAsia="de-DE"/>
              </w:rPr>
              <w:t xml:space="preserve"> </w:t>
            </w:r>
            <w:r>
              <w:rPr>
                <w:rFonts w:ascii="Calibri" w:hAnsi="Calibri"/>
                <w:sz w:val="22"/>
                <w:lang w:eastAsia="de-DE"/>
              </w:rPr>
              <w:t>Der DWD hat keine Einwände gegen die von Ihnen vorgelegte Planung, da keine Standorte des DWD beeinträchtigt werden bzw. betroffen sind.</w:t>
            </w:r>
          </w:p>
          <w:p>
            <w:pPr>
              <w:pStyle w:val="Normal"/>
              <w:suppressAutoHyphens w:val="false"/>
              <w:ind w:right="113"/>
              <w:jc w:val="both"/>
              <w:rPr>
                <w:rFonts w:ascii="Calibri" w:hAnsi="Calibri"/>
                <w:sz w:val="22"/>
                <w:lang w:eastAsia="de-DE"/>
              </w:rPr>
            </w:pPr>
            <w:r>
              <w:rPr>
                <w:rFonts w:ascii="Calibri" w:hAnsi="Calibri"/>
                <w:sz w:val="22"/>
                <w:lang w:eastAsia="de-DE"/>
              </w:rPr>
            </w:r>
          </w:p>
          <w:p>
            <w:pPr>
              <w:pStyle w:val="Normal"/>
              <w:suppressAutoHyphens w:val="false"/>
              <w:ind w:right="113"/>
              <w:jc w:val="both"/>
              <w:rPr>
                <w:rFonts w:ascii="Calibri" w:hAnsi="Calibri" w:eastAsia="Calibri"/>
                <w:sz w:val="22"/>
                <w:highlight w:val="yellow"/>
                <w:lang w:eastAsia="de-DE"/>
              </w:rPr>
            </w:pPr>
            <w:r>
              <w:rPr>
                <w:rFonts w:ascii="Calibri" w:hAnsi="Calibri"/>
                <w:sz w:val="22"/>
                <w:lang w:eastAsia="de-DE"/>
              </w:rPr>
              <w:t xml:space="preserve"> </w:t>
            </w:r>
            <w:r>
              <w:rPr>
                <w:rFonts w:ascii="Calibri" w:hAnsi="Calibri"/>
                <w:sz w:val="22"/>
                <w:lang w:eastAsia="de-DE"/>
              </w:rPr>
              <w:t>Sofern Sie für Vorhaben in Ihrem Einzugsgebiet amtliche klimatologische Gutachten für die Landes-, Raum- und Städteplanung, für die Umweltverträglichkeit (UVP) o. ä. benötigen, können Sie diese beim DWD in Auftrag geben bzw. Auftraggeber in diesem Sinne informieren.</w:t>
            </w:r>
          </w:p>
        </w:tc>
      </w:tr>
    </w:tbl>
    <w:p>
      <w:pPr>
        <w:pStyle w:val="Normal"/>
        <w:keepNext w:val="true"/>
        <w:numPr>
          <w:ilvl w:val="0"/>
          <w:numId w:val="33"/>
        </w:numPr>
        <w:tabs>
          <w:tab w:val="clear" w:pos="709"/>
          <w:tab w:val="left" w:pos="2694" w:leader="none"/>
          <w:tab w:val="left" w:pos="8505" w:leader="none"/>
        </w:tabs>
        <w:suppressAutoHyphens w:val="false"/>
        <w:spacing w:before="360" w:after="100"/>
        <w:ind w:hanging="432" w:left="858" w:right="-29"/>
        <w:jc w:val="both"/>
        <w:outlineLvl w:val="0"/>
        <w:rPr>
          <w:rFonts w:ascii="Calibri" w:hAnsi="Calibri"/>
          <w:b/>
          <w:sz w:val="22"/>
          <w:lang w:eastAsia="de-DE"/>
        </w:rPr>
      </w:pPr>
      <w:bookmarkStart w:id="11" w:name="_Toc122069580"/>
      <w:r>
        <w:rPr>
          <w:rFonts w:ascii="Calibri" w:hAnsi="Calibri"/>
          <w:b/>
          <w:sz w:val="22"/>
          <w:lang w:eastAsia="de-DE"/>
        </w:rPr>
        <w:t>DLR Mosel</w:t>
      </w:r>
      <w:bookmarkEnd w:id="11"/>
    </w:p>
    <w:tbl>
      <w:tblPr>
        <w:tblW w:w="14454"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206"/>
        <w:gridCol w:w="14247"/>
      </w:tblGrid>
      <w:tr>
        <w:trPr>
          <w:tblHeader w:val="true"/>
        </w:trPr>
        <w:tc>
          <w:tcPr>
            <w:tcW w:w="14453" w:type="dxa"/>
            <w:gridSpan w:val="2"/>
            <w:tcBorders>
              <w:top w:val="single" w:sz="4" w:space="0" w:color="000000"/>
              <w:left w:val="single" w:sz="4" w:space="0" w:color="000000"/>
              <w:bottom w:val="single" w:sz="4" w:space="0" w:color="000000"/>
              <w:right w:val="single" w:sz="4" w:space="0" w:color="000000"/>
            </w:tcBorders>
            <w:shd w:color="auto" w:fill="FFFFFF" w:val="pct12"/>
          </w:tcPr>
          <w:p>
            <w:pPr>
              <w:pStyle w:val="Normal"/>
              <w:tabs>
                <w:tab w:val="clear" w:pos="709"/>
                <w:tab w:val="left" w:pos="1875" w:leader="none"/>
              </w:tabs>
              <w:suppressAutoHyphens w:val="false"/>
              <w:ind w:right="113"/>
              <w:jc w:val="both"/>
              <w:rPr>
                <w:rFonts w:ascii="Calibri" w:hAnsi="Calibri"/>
                <w:b/>
                <w:sz w:val="22"/>
                <w:lang w:eastAsia="de-DE"/>
              </w:rPr>
            </w:pPr>
            <w:r>
              <w:rPr>
                <w:rFonts w:ascii="Calibri" w:hAnsi="Calibri"/>
                <w:b/>
                <w:sz w:val="22"/>
                <w:lang w:eastAsia="de-DE"/>
              </w:rPr>
              <w:t>Anregung</w:t>
            </w:r>
          </w:p>
        </w:tc>
      </w:tr>
      <w:tr>
        <w:trPr/>
        <w:tc>
          <w:tcPr>
            <w:tcW w:w="206" w:type="dxa"/>
            <w:tcBorders>
              <w:top w:val="single" w:sz="4" w:space="0" w:color="000000"/>
              <w:left w:val="single" w:sz="4" w:space="0" w:color="000000"/>
              <w:bottom w:val="single" w:sz="4" w:space="0" w:color="000000"/>
            </w:tcBorders>
          </w:tcPr>
          <w:p>
            <w:pPr>
              <w:pStyle w:val="Normal"/>
              <w:widowControl w:val="false"/>
              <w:tabs>
                <w:tab w:val="clear" w:pos="709"/>
                <w:tab w:val="left" w:pos="708" w:leader="none"/>
                <w:tab w:val="center" w:pos="4536" w:leader="none"/>
                <w:tab w:val="right" w:pos="9072" w:leader="none"/>
              </w:tabs>
              <w:suppressAutoHyphens w:val="false"/>
              <w:ind w:right="113"/>
              <w:jc w:val="both"/>
              <w:rPr>
                <w:rFonts w:ascii="Calibri" w:hAnsi="Calibri"/>
                <w:sz w:val="16"/>
                <w:lang w:eastAsia="de-DE"/>
              </w:rPr>
            </w:pPr>
            <w:r>
              <w:rPr>
                <w:rFonts w:ascii="Calibri" w:hAnsi="Calibri"/>
                <w:sz w:val="16"/>
                <w:lang w:eastAsia="de-DE"/>
              </w:rPr>
            </w:r>
          </w:p>
        </w:tc>
        <w:tc>
          <w:tcPr>
            <w:tcW w:w="14247" w:type="dxa"/>
            <w:tcBorders>
              <w:top w:val="single" w:sz="4" w:space="0" w:color="000000"/>
              <w:bottom w:val="single" w:sz="4" w:space="0" w:color="000000"/>
              <w:right w:val="single" w:sz="4" w:space="0" w:color="000000"/>
            </w:tcBorders>
          </w:tcPr>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aus flurbereinigungstechnischer Sicht bestehen unsererseits keine Bedenken.</w:t>
            </w:r>
          </w:p>
        </w:tc>
      </w:tr>
    </w:tbl>
    <w:p>
      <w:pPr>
        <w:pStyle w:val="Normal"/>
        <w:keepNext w:val="true"/>
        <w:numPr>
          <w:ilvl w:val="0"/>
          <w:numId w:val="0"/>
        </w:numPr>
        <w:tabs>
          <w:tab w:val="clear" w:pos="709"/>
          <w:tab w:val="left" w:pos="2694" w:leader="none"/>
          <w:tab w:val="left" w:pos="8505" w:leader="none"/>
        </w:tabs>
        <w:suppressAutoHyphens w:val="false"/>
        <w:spacing w:before="360" w:after="100"/>
        <w:ind w:hanging="432" w:left="858" w:right="-29"/>
        <w:outlineLvl w:val="0"/>
        <w:rPr>
          <w:rFonts w:ascii="Calibri" w:hAnsi="Calibri"/>
          <w:b/>
          <w:sz w:val="22"/>
          <w:lang w:eastAsia="de-DE"/>
        </w:rPr>
      </w:pPr>
      <w:bookmarkStart w:id="12" w:name="_Toc122069581"/>
      <w:r>
        <w:rPr>
          <w:rFonts w:ascii="Calibri" w:hAnsi="Calibri"/>
          <w:b/>
          <w:sz w:val="22"/>
          <w:lang w:eastAsia="de-DE"/>
        </w:rPr>
        <w:t>17</w:t>
        <w:tab/>
        <w:t>VGV Bernkastel-Kues, Fachbereich II Finanzen</w:t>
      </w:r>
      <w:bookmarkEnd w:id="12"/>
    </w:p>
    <w:tbl>
      <w:tblPr>
        <w:tblW w:w="14454"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206"/>
        <w:gridCol w:w="14247"/>
      </w:tblGrid>
      <w:tr>
        <w:trPr>
          <w:tblHeader w:val="true"/>
        </w:trPr>
        <w:tc>
          <w:tcPr>
            <w:tcW w:w="14453" w:type="dxa"/>
            <w:gridSpan w:val="2"/>
            <w:tcBorders>
              <w:top w:val="single" w:sz="4" w:space="0" w:color="000000"/>
              <w:left w:val="single" w:sz="4" w:space="0" w:color="000000"/>
              <w:bottom w:val="single" w:sz="4" w:space="0" w:color="000000"/>
              <w:right w:val="single" w:sz="4" w:space="0" w:color="000000"/>
            </w:tcBorders>
            <w:shd w:color="auto" w:fill="FFFFFF" w:val="pct12"/>
          </w:tcPr>
          <w:p>
            <w:pPr>
              <w:pStyle w:val="Normal"/>
              <w:tabs>
                <w:tab w:val="clear" w:pos="709"/>
                <w:tab w:val="left" w:pos="1875" w:leader="none"/>
              </w:tabs>
              <w:suppressAutoHyphens w:val="false"/>
              <w:ind w:right="113"/>
              <w:jc w:val="both"/>
              <w:rPr>
                <w:rFonts w:ascii="Calibri" w:hAnsi="Calibri"/>
                <w:b/>
                <w:sz w:val="22"/>
                <w:lang w:eastAsia="de-DE"/>
              </w:rPr>
            </w:pPr>
            <w:r>
              <w:rPr>
                <w:rFonts w:ascii="Calibri" w:hAnsi="Calibri"/>
                <w:b/>
                <w:sz w:val="22"/>
                <w:lang w:eastAsia="de-DE"/>
              </w:rPr>
              <w:t>Anregung</w:t>
            </w:r>
          </w:p>
        </w:tc>
      </w:tr>
      <w:tr>
        <w:trPr/>
        <w:tc>
          <w:tcPr>
            <w:tcW w:w="206" w:type="dxa"/>
            <w:tcBorders>
              <w:top w:val="single" w:sz="4" w:space="0" w:color="000000"/>
              <w:left w:val="single" w:sz="4" w:space="0" w:color="000000"/>
              <w:bottom w:val="single" w:sz="4" w:space="0" w:color="000000"/>
            </w:tcBorders>
          </w:tcPr>
          <w:p>
            <w:pPr>
              <w:pStyle w:val="Normal"/>
              <w:widowControl w:val="false"/>
              <w:tabs>
                <w:tab w:val="clear" w:pos="709"/>
                <w:tab w:val="left" w:pos="708" w:leader="none"/>
                <w:tab w:val="center" w:pos="4536" w:leader="none"/>
                <w:tab w:val="right" w:pos="9072" w:leader="none"/>
              </w:tabs>
              <w:suppressAutoHyphens w:val="false"/>
              <w:ind w:right="113"/>
              <w:jc w:val="both"/>
              <w:rPr>
                <w:rFonts w:ascii="Calibri" w:hAnsi="Calibri"/>
                <w:sz w:val="16"/>
                <w:lang w:eastAsia="de-DE"/>
              </w:rPr>
            </w:pPr>
            <w:r>
              <w:rPr>
                <w:rFonts w:ascii="Calibri" w:hAnsi="Calibri"/>
                <w:sz w:val="16"/>
                <w:lang w:eastAsia="de-DE"/>
              </w:rPr>
            </w:r>
          </w:p>
        </w:tc>
        <w:tc>
          <w:tcPr>
            <w:tcW w:w="14247" w:type="dxa"/>
            <w:tcBorders>
              <w:top w:val="single" w:sz="4" w:space="0" w:color="000000"/>
              <w:bottom w:val="single" w:sz="4" w:space="0" w:color="000000"/>
              <w:right w:val="single" w:sz="4" w:space="0" w:color="000000"/>
            </w:tcBorders>
          </w:tcPr>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Zu dem vorgenannten Bebauungsplanentwurf nehmen wir wie folgt Stellung:</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Aus beitragsrechtlicher Sicht sind insgesamt 4 Erschließungsanlagen im Baugebiet geplant, welche beitragsrechtlich unterschiedlich zu bewerten sind.</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r>
          </w:p>
          <w:p>
            <w:pPr>
              <w:pStyle w:val="Normal"/>
              <w:suppressAutoHyphens w:val="false"/>
              <w:ind w:right="113"/>
              <w:jc w:val="both"/>
              <w:rPr>
                <w:rFonts w:ascii="Calibri" w:hAnsi="Calibri" w:eastAsia="Calibri"/>
                <w:b/>
                <w:sz w:val="22"/>
                <w:lang w:eastAsia="de-DE"/>
              </w:rPr>
            </w:pPr>
            <w:r>
              <w:rPr>
                <w:rFonts w:eastAsia="Calibri" w:ascii="Calibri" w:hAnsi="Calibri"/>
                <w:b/>
                <w:sz w:val="22"/>
                <w:lang w:eastAsia="de-DE"/>
              </w:rPr>
              <w:t>a) Verlängerung Richard-Wagner-Straße (Flurstück 41/2 tlw.)</w:t>
            </w:r>
          </w:p>
          <w:p>
            <w:pPr>
              <w:pStyle w:val="Normal"/>
              <w:suppressAutoHyphens w:val="false"/>
              <w:ind w:right="113"/>
              <w:jc w:val="both"/>
              <w:rPr>
                <w:rFonts w:ascii="Calibri" w:hAnsi="Calibri" w:eastAsia="Calibri"/>
                <w:b/>
                <w:sz w:val="22"/>
                <w:lang w:eastAsia="de-DE"/>
              </w:rPr>
            </w:pPr>
            <w:r>
              <w:rPr>
                <w:rFonts w:eastAsia="Calibri" w:ascii="Calibri" w:hAnsi="Calibri"/>
                <w:b/>
                <w:sz w:val="22"/>
                <w:lang w:eastAsia="de-DE"/>
              </w:rPr>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Die Erschließung dieser Anlage führt zu sehr hohen Erschließungsbeiträgen, da die Anlage nur einseitig bebaut werden kann. Die Grundstücke links der Erschließungsanlage liegen derzeit im Außenbereich und sind nicht beitragsfähig. Die Kosten wären somit nur von den Anliegern der geplanten 5 Baugrundstücke der rechten Straßenseite zu tragen.  Die Beitragsermittlung erfolgt nach der Grundstücksfläche.</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Es wird daher empfohlen, von einer Erschließung dieser Anlage abzusehen. Die Fläche der 5 Baugrundstücke könnte den angrenzenden 5 Baugrundstücken zur Erschließungsanlage b) zugeschlagen werden. Dies würde bei dieser Anlage den Beitragssatz dann reduzieren.</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Das Flurstück 41/2 tlw. könnte dann entweder als „Verkehrsfläche besonderer Verwendung (Wirtschaftsweg)“ im BPlan ausgewiesen oder der Geltungsbereich um dieses Grundstück reduziert werden.</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r>
          </w:p>
          <w:p>
            <w:pPr>
              <w:pStyle w:val="Normal"/>
              <w:suppressAutoHyphens w:val="false"/>
              <w:ind w:right="113"/>
              <w:jc w:val="both"/>
              <w:rPr>
                <w:rFonts w:ascii="Calibri" w:hAnsi="Calibri" w:eastAsia="Calibri"/>
                <w:b/>
                <w:sz w:val="22"/>
                <w:lang w:eastAsia="de-DE"/>
              </w:rPr>
            </w:pPr>
            <w:r>
              <w:rPr>
                <w:rFonts w:eastAsia="Calibri" w:ascii="Calibri" w:hAnsi="Calibri"/>
                <w:b/>
                <w:sz w:val="22"/>
                <w:lang w:eastAsia="de-DE"/>
              </w:rPr>
              <w:t>b) Verlängerung Schubertstraße (Flurstück 75/2)</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Die Erschließunganlage ist beidseitig bebaubar. Da die Baugrundstücke auf beiden Seiten dem MD1 angehören und somit eine identische bauliche Nutzbarkeit vorliegt, ist der Beitrag nach der Grundstücksfläche zu ermitteln.</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r>
          </w:p>
          <w:p>
            <w:pPr>
              <w:pStyle w:val="Normal"/>
              <w:suppressAutoHyphens w:val="false"/>
              <w:ind w:right="113"/>
              <w:jc w:val="both"/>
              <w:rPr>
                <w:rFonts w:ascii="Calibri" w:hAnsi="Calibri" w:eastAsia="Calibri"/>
                <w:b/>
                <w:sz w:val="22"/>
                <w:lang w:eastAsia="de-DE"/>
              </w:rPr>
            </w:pPr>
            <w:r>
              <w:rPr>
                <w:rFonts w:eastAsia="Calibri" w:ascii="Calibri" w:hAnsi="Calibri"/>
                <w:b/>
                <w:sz w:val="22"/>
                <w:lang w:eastAsia="de-DE"/>
              </w:rPr>
              <w:t>c) Verlängerung Mozartstraße (Flurstück 110/2)</w:t>
            </w:r>
          </w:p>
          <w:p>
            <w:pPr>
              <w:pStyle w:val="Normal"/>
              <w:suppressAutoHyphens w:val="false"/>
              <w:ind w:right="113"/>
              <w:jc w:val="both"/>
              <w:rPr>
                <w:rFonts w:ascii="Calibri" w:hAnsi="Calibri" w:eastAsia="Calibri"/>
                <w:b/>
                <w:sz w:val="22"/>
                <w:lang w:eastAsia="de-DE"/>
              </w:rPr>
            </w:pPr>
            <w:r>
              <w:rPr>
                <w:rFonts w:eastAsia="Calibri" w:ascii="Calibri" w:hAnsi="Calibri"/>
                <w:b/>
                <w:sz w:val="22"/>
                <w:lang w:eastAsia="de-DE"/>
              </w:rPr>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 xml:space="preserve">Die Erschließungsanlage ist beidseitig bebaubar. Die Grundstücke linksseitig der Straße gehören dem MD1 an, während rechtsseitig die Grundstücke dem MD2 bzw.  D3 angehören. Für die Grundstücke gelten somit unterschiedliche Nutzbarkeiten (MD1 = GRZ (Grundflächenzahl) 0,4, MD2 und MD3 = GRZ 0,6). Die Beitragsermittlung hat daher nach der Geschossfläche zu erfolgen, d.h. die Grundstücksfläche wird mit der Geschossflächenzahl (im MD1 = 0,8 und im MD 2 u MD3 = 1,2) multipliziert. </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Das MD3 ist zwar durch eine „öffentliche Grünfläche“ von dieser Straße getrennt, zu beachten ist jedoch, dass das Oberverwaltungsgericht Rheinland-Pfalz mit Urteil vom 24.04.1997, Az.: 1 C 10912/96.OVG, festgelegt hat, dass die Ausweisung einer öffentlichen oder privaten Grünfläche in einem Bebauungsplan zu dem einzigen Zweck, eine an sich bebaubare Grundstücksfläche  von Erschließungsbeiträgen freizustellen, abwägungsfehlerhaft ist. Eine solche Planung verstößt gegen den Grundsatz, dass die mit der Planung einhergehende Belastung nicht einseitig nur auf eine Gruppe der Betroffenen verteilt und dadurch ohne Rechtfertigungsgründe ein anderer Personenkreis begünstigt wird. Eine zu einer solchen Konsequenz führende Planausweisung steht im Widerspruch zu der von dem Normenkontrollsenat des OVG mehrfach vertretenen Auffassung, wonach eine sinnvolle Planung auch darauf abzielen muss, eine Ausweisung vorzunehmen, die es mit sich bringt, dass – bei gleichbleibendem Erschließungsaufwand – die Zahl der beitragspflichtigen Grundstücke möglichst groß wird, um so den von den einzelnen Grundstückseigentümern zu erbringenden Erschließungsbeitrag möglichst niedrig zu halten, es sei denn, dieser Forderung stünden überragende planerische Gründe entgegen (vgl. Urteile vom 18.03.1987 – 10 C 82/86 – und vom 17.01.1990  –  10  C  22/89  -). Von einer Ausweisung dieser „öffentlichen Grünfläche“ ist daher abzusehen.</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Es handelt sich somit bei den im MD2 und MD3 gelegenen Grundstücken um 3 durchlaufende Grundstücke. Diese sind bei der Beitragsberechnung nur mit der Hälfte der Fläche zu berücksichtigen, da sie auch für die Erschließungsanlage unter d) beitragspflichtig sind.</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r>
          </w:p>
          <w:p>
            <w:pPr>
              <w:pStyle w:val="Normal"/>
              <w:suppressAutoHyphens w:val="false"/>
              <w:ind w:right="113"/>
              <w:jc w:val="both"/>
              <w:rPr>
                <w:rFonts w:ascii="Calibri" w:hAnsi="Calibri" w:eastAsia="Calibri"/>
                <w:b/>
                <w:sz w:val="22"/>
                <w:lang w:eastAsia="de-DE"/>
              </w:rPr>
            </w:pPr>
            <w:r>
              <w:rPr>
                <w:rFonts w:eastAsia="Calibri" w:ascii="Calibri" w:hAnsi="Calibri"/>
                <w:b/>
                <w:sz w:val="22"/>
                <w:lang w:eastAsia="de-DE"/>
              </w:rPr>
              <w:t>d) Flurstück 146/2</w:t>
            </w:r>
          </w:p>
          <w:p>
            <w:pPr>
              <w:pStyle w:val="Normal"/>
              <w:suppressAutoHyphens w:val="false"/>
              <w:ind w:right="113"/>
              <w:jc w:val="both"/>
              <w:rPr>
                <w:rFonts w:ascii="Calibri" w:hAnsi="Calibri" w:eastAsia="Calibri"/>
                <w:b/>
                <w:sz w:val="22"/>
                <w:lang w:eastAsia="de-DE"/>
              </w:rPr>
            </w:pPr>
            <w:r>
              <w:rPr>
                <w:rFonts w:eastAsia="Calibri" w:ascii="Calibri" w:hAnsi="Calibri"/>
                <w:b/>
                <w:sz w:val="22"/>
                <w:lang w:eastAsia="de-DE"/>
              </w:rPr>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Die Erschließungsanlage ist beidseitig bebaubar. Zur berücksichtigen ist hierbei jedoch, dass</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die rechts der Erschließungsanlage gelegenen Grundstücke bereits durch das Baugebiet</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w:t>
            </w:r>
            <w:r>
              <w:rPr>
                <w:rFonts w:eastAsia="Calibri" w:ascii="Calibri" w:hAnsi="Calibri"/>
                <w:sz w:val="22"/>
                <w:lang w:eastAsia="de-DE"/>
              </w:rPr>
              <w:t>Verlängerte Hochstraße“ als Gewerbe- bzw. Mischgebiet erschlossen sind. Bei diesen</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Grundstücken wurde bereits für die „Hochstraße“ Erschließungsbeitrag für die gesamte</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Grundstücksfläche z.T. mit Gewerbezuschlag von 40% erhoben. Durch die Herstellung des</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Flurstücks 146/2 als Erschließungsstraße müsste von diesen Grundstücken erneut für die</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Hälfte der Grundstücksfläche (es handelt sich um sog. durchlaufende Grundstücke)</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Erschließungsbeitrag zum Teil mit Gewerbezuschlag erhoben werden.</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Die Grundstücke linksseitig der Straße gehören dem MD2 bzw. MD3 an, während rechtsseitig</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die Grundstücke als Mischgebiet (MI) bzw. Gewerbegebiet (GE) ausgewiesen sind. Für die</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Grundstücke gelten somit unterschiedliche Nutzbarkeiten (MD2 und MD3 = GRZ 0,6, MI =</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GRZ 0,4 und GE = GRZ 0,8). Die Beitragsermittlung hat daher nach der Geschossfläche zu</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erfolgen, d.h. die Grundstücksfläche wird mit der Geschossflächenzahl (im MD2 und MD3 =</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1,2 und im MI= 0,8 und im GE = 1,6) multipliziert. Die Grundstücke im GE würden zusätzlich</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mit einem Gewerbezuschlag von 40% belastet. Da sich an dieser Erschließungsanlage nur</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durchlaufende Grundstücke (durch 2 Erschließungsanlagen erschlossen) befinden, ist die</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Hauptbeitragslast von den bereits durch die „Hochstraße“ erschlossenen Grundstücken (rd.</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54%) zu tragen.</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Da die im Bebauungsplan „Hinter Goldschmitsgraben“ liegenden geplanten 3 Baugrundstücke</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auch durch die Erschließungsanlage c) erschlossen sind, sollte daher von einer Erschließung</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dieser Anlage abgesehen werden. Die geplanten 3 Baugrundstücke wären dann auch keine</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durchlaufenden Grundstücke und wären somit mit der kompletten Grundstücksfläche bei der Erschließungsanlage c) beitragspflichtig.  Dies würde den Beitragssatz für diese Erschließungsanlage auch reduzieren.</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Das Flurstück 146/2 könnte dann im BPlan als „Verkehrsfläche besonderer Zweckbestimmung (Wirtschaftsweg)“ ausgewiesen werden bzw.  der Geltungsbereich um dieses Grundstück reduziert werden.</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Sonstiges</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Es wäre sinnvoll, nicht nur im Entwässerungsplan, sondern auch im BPlan die geplanten Baugrundstücke darzustellen. Des Weiteren wird es für sinnvoll erachtet, die Erschließungsanlagen mit Namen (z.B. Planstraße A, B usw.) zu benennen.</w:t>
            </w:r>
          </w:p>
        </w:tc>
      </w:tr>
    </w:tbl>
    <w:p>
      <w:pPr>
        <w:pStyle w:val="Normal"/>
        <w:keepNext w:val="true"/>
        <w:numPr>
          <w:ilvl w:val="0"/>
          <w:numId w:val="0"/>
        </w:numPr>
        <w:tabs>
          <w:tab w:val="clear" w:pos="709"/>
          <w:tab w:val="left" w:pos="2694" w:leader="none"/>
          <w:tab w:val="left" w:pos="8505" w:leader="none"/>
        </w:tabs>
        <w:suppressAutoHyphens w:val="false"/>
        <w:spacing w:before="360" w:after="100"/>
        <w:ind w:left="858" w:right="-29"/>
        <w:outlineLvl w:val="0"/>
        <w:rPr>
          <w:rFonts w:ascii="Calibri" w:hAnsi="Calibri"/>
          <w:b/>
          <w:sz w:val="22"/>
          <w:lang w:eastAsia="de-DE"/>
        </w:rPr>
      </w:pPr>
      <w:r>
        <w:rPr>
          <w:rFonts w:ascii="Calibri" w:hAnsi="Calibri"/>
          <w:b/>
          <w:sz w:val="22"/>
          <w:lang w:eastAsia="de-DE"/>
        </w:rPr>
      </w:r>
    </w:p>
    <w:p>
      <w:pPr>
        <w:pStyle w:val="Normal"/>
        <w:keepNext w:val="true"/>
        <w:numPr>
          <w:ilvl w:val="0"/>
          <w:numId w:val="34"/>
        </w:numPr>
        <w:tabs>
          <w:tab w:val="clear" w:pos="709"/>
          <w:tab w:val="left" w:pos="2694" w:leader="none"/>
          <w:tab w:val="left" w:pos="8505" w:leader="none"/>
        </w:tabs>
        <w:suppressAutoHyphens w:val="false"/>
        <w:spacing w:before="360" w:after="100"/>
        <w:ind w:hanging="432" w:left="858" w:right="-29"/>
        <w:jc w:val="both"/>
        <w:outlineLvl w:val="0"/>
        <w:rPr>
          <w:rFonts w:ascii="Calibri" w:hAnsi="Calibri"/>
          <w:b/>
          <w:sz w:val="22"/>
          <w:lang w:eastAsia="de-DE"/>
        </w:rPr>
      </w:pPr>
      <w:bookmarkStart w:id="13" w:name="_Toc122069582"/>
      <w:r>
        <w:rPr>
          <w:rFonts w:ascii="Calibri" w:hAnsi="Calibri"/>
          <w:b/>
          <w:sz w:val="22"/>
          <w:lang w:eastAsia="de-DE"/>
        </w:rPr>
        <w:t>VGV Bernkastel-Kues, Verbandsgemeindewerke</w:t>
      </w:r>
      <w:bookmarkEnd w:id="13"/>
    </w:p>
    <w:tbl>
      <w:tblPr>
        <w:tblW w:w="14454"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206"/>
        <w:gridCol w:w="14247"/>
      </w:tblGrid>
      <w:tr>
        <w:trPr>
          <w:tblHeader w:val="true"/>
        </w:trPr>
        <w:tc>
          <w:tcPr>
            <w:tcW w:w="14453" w:type="dxa"/>
            <w:gridSpan w:val="2"/>
            <w:tcBorders>
              <w:top w:val="single" w:sz="4" w:space="0" w:color="000000"/>
              <w:left w:val="single" w:sz="4" w:space="0" w:color="000000"/>
              <w:bottom w:val="single" w:sz="4" w:space="0" w:color="000000"/>
              <w:right w:val="single" w:sz="4" w:space="0" w:color="000000"/>
            </w:tcBorders>
            <w:shd w:color="auto" w:fill="FFFFFF" w:val="pct12"/>
          </w:tcPr>
          <w:p>
            <w:pPr>
              <w:pStyle w:val="Normal"/>
              <w:tabs>
                <w:tab w:val="clear" w:pos="709"/>
                <w:tab w:val="left" w:pos="1875" w:leader="none"/>
              </w:tabs>
              <w:suppressAutoHyphens w:val="false"/>
              <w:ind w:right="113"/>
              <w:jc w:val="both"/>
              <w:rPr>
                <w:rFonts w:ascii="Calibri" w:hAnsi="Calibri"/>
                <w:b/>
                <w:sz w:val="22"/>
                <w:lang w:eastAsia="de-DE"/>
              </w:rPr>
            </w:pPr>
            <w:r>
              <w:rPr>
                <w:rFonts w:ascii="Calibri" w:hAnsi="Calibri"/>
                <w:b/>
                <w:sz w:val="22"/>
                <w:lang w:eastAsia="de-DE"/>
              </w:rPr>
              <w:t>Anregung</w:t>
            </w:r>
          </w:p>
        </w:tc>
      </w:tr>
      <w:tr>
        <w:trPr/>
        <w:tc>
          <w:tcPr>
            <w:tcW w:w="206" w:type="dxa"/>
            <w:tcBorders>
              <w:top w:val="single" w:sz="4" w:space="0" w:color="000000"/>
              <w:left w:val="single" w:sz="4" w:space="0" w:color="000000"/>
              <w:bottom w:val="single" w:sz="4" w:space="0" w:color="000000"/>
            </w:tcBorders>
          </w:tcPr>
          <w:p>
            <w:pPr>
              <w:pStyle w:val="Normal"/>
              <w:widowControl w:val="false"/>
              <w:tabs>
                <w:tab w:val="clear" w:pos="709"/>
                <w:tab w:val="left" w:pos="708" w:leader="none"/>
                <w:tab w:val="center" w:pos="4536" w:leader="none"/>
                <w:tab w:val="right" w:pos="9072" w:leader="none"/>
              </w:tabs>
              <w:suppressAutoHyphens w:val="false"/>
              <w:ind w:right="113"/>
              <w:jc w:val="right"/>
              <w:rPr>
                <w:rFonts w:ascii="Calibri" w:hAnsi="Calibri"/>
                <w:sz w:val="16"/>
                <w:highlight w:val="yellow"/>
                <w:lang w:eastAsia="de-DE"/>
              </w:rPr>
            </w:pPr>
            <w:r>
              <w:rPr>
                <w:rFonts w:ascii="Calibri" w:hAnsi="Calibri"/>
                <w:sz w:val="16"/>
                <w:highlight w:val="yellow"/>
                <w:lang w:eastAsia="de-DE"/>
              </w:rPr>
            </w:r>
          </w:p>
        </w:tc>
        <w:tc>
          <w:tcPr>
            <w:tcW w:w="14247" w:type="dxa"/>
            <w:tcBorders>
              <w:top w:val="single" w:sz="4" w:space="0" w:color="000000"/>
              <w:bottom w:val="single" w:sz="4" w:space="0" w:color="000000"/>
              <w:right w:val="single" w:sz="4" w:space="0" w:color="000000"/>
            </w:tcBorders>
          </w:tcPr>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 xml:space="preserve">gegen die Aufstellung des Bebauungsplanes „Hinter Goldschmitsgraben“ in der Ortsgemeinde Lieser in der vorgelegten Entwurfsfassung bestehen </w:t>
            </w:r>
            <w:r>
              <w:rPr>
                <w:rFonts w:eastAsia="Calibri" w:ascii="Calibri" w:hAnsi="Calibri"/>
                <w:sz w:val="22"/>
                <w:u w:val="single"/>
                <w:lang w:eastAsia="de-DE"/>
              </w:rPr>
              <w:t>keine</w:t>
            </w:r>
            <w:r>
              <w:rPr>
                <w:rFonts w:eastAsia="Calibri" w:ascii="Calibri" w:hAnsi="Calibri"/>
                <w:sz w:val="22"/>
                <w:lang w:eastAsia="de-DE"/>
              </w:rPr>
              <w:t xml:space="preserve"> Bedenken.</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r>
          </w:p>
          <w:p>
            <w:pPr>
              <w:pStyle w:val="Normal"/>
              <w:suppressAutoHyphens w:val="false"/>
              <w:ind w:right="113"/>
              <w:jc w:val="both"/>
              <w:rPr>
                <w:rFonts w:ascii="Calibri" w:hAnsi="Calibri" w:eastAsia="Calibri"/>
                <w:b/>
                <w:sz w:val="22"/>
                <w:u w:val="single"/>
                <w:lang w:eastAsia="de-DE"/>
              </w:rPr>
            </w:pPr>
            <w:r>
              <w:rPr>
                <w:rFonts w:eastAsia="Calibri" w:ascii="Calibri" w:hAnsi="Calibri"/>
                <w:b/>
                <w:sz w:val="22"/>
                <w:u w:val="single"/>
                <w:lang w:eastAsia="de-DE"/>
              </w:rPr>
              <w:t>Wasserversorgung</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Die Trinkwasser-Hausanschlussleitungen können an die noch herzustellende Versorgungsleitung angeschlossen werden.</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r>
          </w:p>
          <w:p>
            <w:pPr>
              <w:pStyle w:val="Normal"/>
              <w:suppressAutoHyphens w:val="false"/>
              <w:ind w:right="113"/>
              <w:jc w:val="both"/>
              <w:rPr>
                <w:rFonts w:ascii="Calibri" w:hAnsi="Calibri" w:eastAsia="Calibri"/>
                <w:b/>
                <w:sz w:val="22"/>
                <w:u w:val="single"/>
                <w:lang w:eastAsia="de-DE"/>
              </w:rPr>
            </w:pPr>
            <w:r>
              <w:rPr>
                <w:rFonts w:eastAsia="Calibri" w:ascii="Calibri" w:hAnsi="Calibri"/>
                <w:b/>
                <w:sz w:val="22"/>
                <w:u w:val="single"/>
                <w:lang w:eastAsia="de-DE"/>
              </w:rPr>
              <w:t>Abwasserbeseitigung</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Die Entwässerung erfolgt im Trennsystem. Die Schmutzwasser-Hausanschlussleitungen können an die noch herzustellende Kanalisation angeschlossen werden.</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r>
          </w:p>
          <w:p>
            <w:pPr>
              <w:pStyle w:val="Normal"/>
              <w:suppressAutoHyphens w:val="false"/>
              <w:ind w:right="113"/>
              <w:jc w:val="both"/>
              <w:rPr>
                <w:rFonts w:ascii="Calibri" w:hAnsi="Calibri" w:eastAsia="Calibri"/>
                <w:b/>
                <w:sz w:val="22"/>
                <w:u w:val="single"/>
                <w:lang w:eastAsia="de-DE"/>
              </w:rPr>
            </w:pPr>
            <w:r>
              <w:rPr>
                <w:rFonts w:eastAsia="Calibri" w:ascii="Calibri" w:hAnsi="Calibri"/>
                <w:b/>
                <w:sz w:val="22"/>
                <w:u w:val="single"/>
                <w:lang w:eastAsia="de-DE"/>
              </w:rPr>
              <w:t>Niederschlagwasser/Oberflächenentwässerung</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Bezüglich der Niederschlagswasserbeseitigung wird auf das bereits abgestimmte Entwässerungskonzept des Ing.-Büro Grahneis, Mülheim an der Mosel vom 20.10.2022 verwiesen.</w:t>
            </w:r>
          </w:p>
        </w:tc>
      </w:tr>
    </w:tbl>
    <w:p>
      <w:pPr>
        <w:pStyle w:val="Normal"/>
        <w:keepNext w:val="true"/>
        <w:numPr>
          <w:ilvl w:val="0"/>
          <w:numId w:val="4"/>
        </w:numPr>
        <w:tabs>
          <w:tab w:val="clear" w:pos="709"/>
          <w:tab w:val="left" w:pos="2694" w:leader="none"/>
          <w:tab w:val="left" w:pos="8505" w:leader="none"/>
        </w:tabs>
        <w:suppressAutoHyphens w:val="false"/>
        <w:spacing w:before="360" w:after="100"/>
        <w:ind w:hanging="432" w:left="858" w:right="-29"/>
        <w:jc w:val="both"/>
        <w:outlineLvl w:val="0"/>
        <w:rPr>
          <w:rFonts w:ascii="Calibri" w:hAnsi="Calibri"/>
          <w:b/>
          <w:sz w:val="22"/>
          <w:lang w:eastAsia="de-DE"/>
        </w:rPr>
      </w:pPr>
      <w:bookmarkStart w:id="14" w:name="_Toc122069583"/>
      <w:r>
        <w:rPr>
          <w:rFonts w:ascii="Calibri" w:hAnsi="Calibri"/>
          <w:b/>
          <w:sz w:val="22"/>
          <w:lang w:eastAsia="de-DE"/>
        </w:rPr>
        <w:t>Fernleitungs-Betriebsgesellschaft</w:t>
      </w:r>
      <w:bookmarkEnd w:id="14"/>
    </w:p>
    <w:tbl>
      <w:tblPr>
        <w:tblW w:w="14454"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206"/>
        <w:gridCol w:w="14247"/>
      </w:tblGrid>
      <w:tr>
        <w:trPr>
          <w:tblHeader w:val="true"/>
        </w:trPr>
        <w:tc>
          <w:tcPr>
            <w:tcW w:w="14453" w:type="dxa"/>
            <w:gridSpan w:val="2"/>
            <w:tcBorders>
              <w:top w:val="single" w:sz="4" w:space="0" w:color="000000"/>
              <w:left w:val="single" w:sz="4" w:space="0" w:color="000000"/>
              <w:bottom w:val="single" w:sz="4" w:space="0" w:color="000000"/>
              <w:right w:val="single" w:sz="4" w:space="0" w:color="000000"/>
            </w:tcBorders>
            <w:shd w:color="auto" w:fill="FFFFFF" w:val="pct12"/>
          </w:tcPr>
          <w:p>
            <w:pPr>
              <w:pStyle w:val="Normal"/>
              <w:tabs>
                <w:tab w:val="clear" w:pos="709"/>
                <w:tab w:val="left" w:pos="1875" w:leader="none"/>
              </w:tabs>
              <w:suppressAutoHyphens w:val="false"/>
              <w:ind w:right="113"/>
              <w:jc w:val="both"/>
              <w:rPr>
                <w:rFonts w:ascii="Calibri" w:hAnsi="Calibri"/>
                <w:b/>
                <w:sz w:val="22"/>
                <w:lang w:eastAsia="de-DE"/>
              </w:rPr>
            </w:pPr>
            <w:r>
              <w:rPr>
                <w:rFonts w:ascii="Calibri" w:hAnsi="Calibri"/>
                <w:b/>
                <w:sz w:val="22"/>
                <w:lang w:eastAsia="de-DE"/>
              </w:rPr>
              <w:t>Anregung</w:t>
            </w:r>
          </w:p>
        </w:tc>
      </w:tr>
      <w:tr>
        <w:trPr/>
        <w:tc>
          <w:tcPr>
            <w:tcW w:w="206" w:type="dxa"/>
            <w:tcBorders>
              <w:top w:val="single" w:sz="4" w:space="0" w:color="000000"/>
              <w:left w:val="single" w:sz="4" w:space="0" w:color="000000"/>
              <w:bottom w:val="single" w:sz="4" w:space="0" w:color="000000"/>
            </w:tcBorders>
          </w:tcPr>
          <w:p>
            <w:pPr>
              <w:pStyle w:val="Normal"/>
              <w:widowControl w:val="false"/>
              <w:tabs>
                <w:tab w:val="clear" w:pos="709"/>
                <w:tab w:val="left" w:pos="708" w:leader="none"/>
                <w:tab w:val="center" w:pos="4536" w:leader="none"/>
                <w:tab w:val="right" w:pos="9072" w:leader="none"/>
              </w:tabs>
              <w:suppressAutoHyphens w:val="false"/>
              <w:ind w:right="113"/>
              <w:jc w:val="right"/>
              <w:rPr>
                <w:rFonts w:ascii="Calibri" w:hAnsi="Calibri" w:cs="Calibri"/>
                <w:sz w:val="22"/>
                <w:szCs w:val="22"/>
                <w:lang w:eastAsia="de-DE"/>
              </w:rPr>
            </w:pPr>
            <w:r>
              <w:rPr>
                <w:rFonts w:cs="Calibri" w:ascii="Calibri" w:hAnsi="Calibri"/>
                <w:sz w:val="22"/>
                <w:szCs w:val="22"/>
                <w:lang w:eastAsia="de-DE"/>
              </w:rPr>
            </w:r>
          </w:p>
        </w:tc>
        <w:tc>
          <w:tcPr>
            <w:tcW w:w="14247" w:type="dxa"/>
            <w:tcBorders>
              <w:top w:val="single" w:sz="4" w:space="0" w:color="000000"/>
              <w:bottom w:val="single" w:sz="4" w:space="0" w:color="000000"/>
              <w:right w:val="single" w:sz="4" w:space="0" w:color="000000"/>
            </w:tcBorders>
          </w:tcPr>
          <w:p>
            <w:pPr>
              <w:pStyle w:val="Normal"/>
              <w:suppressAutoHyphens w:val="false"/>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r>
          </w:p>
          <w:p>
            <w:pPr>
              <w:pStyle w:val="Normal"/>
              <w:suppressAutoHyphens w:val="false"/>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Zuständigkeitshalber haben wir Ihre Anfrage an folgende Dienststelle zur Beantwortung abgegeben:</w:t>
            </w:r>
          </w:p>
          <w:p>
            <w:pPr>
              <w:pStyle w:val="Normal"/>
              <w:suppressAutoHyphens w:val="false"/>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r>
          </w:p>
          <w:p>
            <w:pPr>
              <w:pStyle w:val="Normal"/>
              <w:suppressAutoHyphens w:val="false"/>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Bundesamt für Infrastruktur, Umweltschutz und Dienstleistungen der Bundeswehr</w:t>
            </w:r>
          </w:p>
          <w:p>
            <w:pPr>
              <w:pStyle w:val="Normal"/>
              <w:suppressAutoHyphens w:val="false"/>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Referat Infra I3 TÖB</w:t>
            </w:r>
          </w:p>
          <w:p>
            <w:pPr>
              <w:pStyle w:val="Normal"/>
              <w:suppressAutoHyphens w:val="false"/>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Frontainergraben 200</w:t>
            </w:r>
          </w:p>
          <w:p>
            <w:pPr>
              <w:pStyle w:val="Normal"/>
              <w:suppressAutoHyphens w:val="false"/>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53123 Bonn</w:t>
            </w:r>
          </w:p>
          <w:p>
            <w:pPr>
              <w:pStyle w:val="Normal"/>
              <w:suppressAutoHyphens w:val="false"/>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BAIUDBwToeB@bundeswehr.org</w:t>
            </w:r>
          </w:p>
        </w:tc>
      </w:tr>
    </w:tbl>
    <w:p>
      <w:pPr>
        <w:pStyle w:val="Normal"/>
        <w:keepNext w:val="true"/>
        <w:numPr>
          <w:ilvl w:val="0"/>
          <w:numId w:val="35"/>
        </w:numPr>
        <w:tabs>
          <w:tab w:val="clear" w:pos="709"/>
          <w:tab w:val="left" w:pos="2694" w:leader="none"/>
          <w:tab w:val="left" w:pos="8505" w:leader="none"/>
        </w:tabs>
        <w:suppressAutoHyphens w:val="false"/>
        <w:spacing w:before="360" w:after="100"/>
        <w:ind w:hanging="432" w:left="858" w:right="-29"/>
        <w:jc w:val="both"/>
        <w:outlineLvl w:val="0"/>
        <w:rPr>
          <w:rFonts w:ascii="Calibri" w:hAnsi="Calibri"/>
          <w:b/>
          <w:sz w:val="22"/>
          <w:lang w:eastAsia="de-DE"/>
        </w:rPr>
      </w:pPr>
      <w:bookmarkStart w:id="15" w:name="_Toc122069584"/>
      <w:r>
        <w:rPr>
          <w:rFonts w:ascii="Calibri" w:hAnsi="Calibri"/>
          <w:b/>
          <w:sz w:val="22"/>
          <w:lang w:eastAsia="de-DE"/>
        </w:rPr>
        <w:t>Forstamt Traben-Trarbach</w:t>
      </w:r>
      <w:bookmarkEnd w:id="15"/>
    </w:p>
    <w:tbl>
      <w:tblPr>
        <w:tblW w:w="14454"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206"/>
        <w:gridCol w:w="14247"/>
      </w:tblGrid>
      <w:tr>
        <w:trPr>
          <w:tblHeader w:val="true"/>
        </w:trPr>
        <w:tc>
          <w:tcPr>
            <w:tcW w:w="14453" w:type="dxa"/>
            <w:gridSpan w:val="2"/>
            <w:tcBorders>
              <w:top w:val="single" w:sz="4" w:space="0" w:color="000000"/>
              <w:left w:val="single" w:sz="4" w:space="0" w:color="000000"/>
              <w:bottom w:val="single" w:sz="4" w:space="0" w:color="000000"/>
              <w:right w:val="single" w:sz="4" w:space="0" w:color="000000"/>
            </w:tcBorders>
            <w:shd w:color="auto" w:fill="FFFFFF" w:val="pct12"/>
          </w:tcPr>
          <w:p>
            <w:pPr>
              <w:pStyle w:val="Normal"/>
              <w:tabs>
                <w:tab w:val="clear" w:pos="709"/>
                <w:tab w:val="left" w:pos="1875" w:leader="none"/>
              </w:tabs>
              <w:suppressAutoHyphens w:val="false"/>
              <w:ind w:right="113"/>
              <w:jc w:val="both"/>
              <w:rPr>
                <w:rFonts w:ascii="Calibri" w:hAnsi="Calibri"/>
                <w:b/>
                <w:sz w:val="22"/>
                <w:lang w:eastAsia="de-DE"/>
              </w:rPr>
            </w:pPr>
            <w:r>
              <w:rPr>
                <w:rFonts w:ascii="Calibri" w:hAnsi="Calibri"/>
                <w:b/>
                <w:sz w:val="22"/>
                <w:lang w:eastAsia="de-DE"/>
              </w:rPr>
              <w:t>Anregung</w:t>
            </w:r>
          </w:p>
        </w:tc>
      </w:tr>
      <w:tr>
        <w:trPr/>
        <w:tc>
          <w:tcPr>
            <w:tcW w:w="206" w:type="dxa"/>
            <w:tcBorders>
              <w:top w:val="single" w:sz="4" w:space="0" w:color="000000"/>
              <w:left w:val="single" w:sz="4" w:space="0" w:color="000000"/>
              <w:bottom w:val="single" w:sz="4" w:space="0" w:color="000000"/>
            </w:tcBorders>
          </w:tcPr>
          <w:p>
            <w:pPr>
              <w:pStyle w:val="Normal"/>
              <w:widowControl w:val="false"/>
              <w:tabs>
                <w:tab w:val="clear" w:pos="709"/>
                <w:tab w:val="left" w:pos="708" w:leader="none"/>
                <w:tab w:val="center" w:pos="4536" w:leader="none"/>
                <w:tab w:val="right" w:pos="9072" w:leader="none"/>
              </w:tabs>
              <w:suppressAutoHyphens w:val="false"/>
              <w:ind w:right="113"/>
              <w:jc w:val="right"/>
              <w:rPr>
                <w:rFonts w:ascii="Calibri" w:hAnsi="Calibri"/>
                <w:sz w:val="16"/>
                <w:lang w:eastAsia="de-DE"/>
              </w:rPr>
            </w:pPr>
            <w:r>
              <w:rPr>
                <w:rFonts w:ascii="Calibri" w:hAnsi="Calibri"/>
                <w:sz w:val="16"/>
                <w:lang w:eastAsia="de-DE"/>
              </w:rPr>
            </w:r>
          </w:p>
        </w:tc>
        <w:tc>
          <w:tcPr>
            <w:tcW w:w="14247" w:type="dxa"/>
            <w:tcBorders>
              <w:top w:val="single" w:sz="4" w:space="0" w:color="000000"/>
              <w:bottom w:val="single" w:sz="4" w:space="0" w:color="000000"/>
              <w:right w:val="single" w:sz="4" w:space="0" w:color="000000"/>
            </w:tcBorders>
          </w:tcPr>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r>
          </w:p>
          <w:p>
            <w:pPr>
              <w:pStyle w:val="Normal"/>
              <w:suppressAutoHyphens w:val="false"/>
              <w:ind w:right="113"/>
              <w:jc w:val="both"/>
              <w:rPr>
                <w:rFonts w:ascii="Calibri" w:hAnsi="Calibri" w:eastAsia="Calibri"/>
                <w:sz w:val="22"/>
                <w:lang w:eastAsia="de-DE"/>
              </w:rPr>
            </w:pPr>
            <w:r>
              <w:rPr>
                <w:rFonts w:ascii="Calibri" w:hAnsi="Calibri"/>
                <w:sz w:val="22"/>
                <w:lang w:eastAsia="de-DE"/>
              </w:rPr>
              <w:t>vielen Dank für die Beteiligung, von Seiten des Forstamtes Traben-Trarbach gibt es keine Anmerkungen.</w:t>
            </w:r>
          </w:p>
        </w:tc>
      </w:tr>
    </w:tbl>
    <w:p>
      <w:pPr>
        <w:pStyle w:val="Normal"/>
        <w:keepNext w:val="true"/>
        <w:numPr>
          <w:ilvl w:val="0"/>
          <w:numId w:val="36"/>
        </w:numPr>
        <w:tabs>
          <w:tab w:val="clear" w:pos="709"/>
          <w:tab w:val="left" w:pos="2694" w:leader="none"/>
          <w:tab w:val="left" w:pos="8505" w:leader="none"/>
        </w:tabs>
        <w:suppressAutoHyphens w:val="false"/>
        <w:spacing w:before="360" w:after="100"/>
        <w:ind w:hanging="432" w:left="858" w:right="-29"/>
        <w:jc w:val="both"/>
        <w:outlineLvl w:val="0"/>
        <w:rPr>
          <w:rFonts w:ascii="Calibri" w:hAnsi="Calibri"/>
          <w:b/>
          <w:sz w:val="22"/>
          <w:lang w:eastAsia="de-DE"/>
        </w:rPr>
      </w:pPr>
      <w:bookmarkStart w:id="16" w:name="_Toc122069585"/>
      <w:r>
        <w:rPr>
          <w:rFonts w:ascii="Calibri" w:hAnsi="Calibri"/>
          <w:b/>
          <w:sz w:val="22"/>
          <w:lang w:eastAsia="de-DE"/>
        </w:rPr>
        <w:t>Generaldirektion Kulturelles Erbe</w:t>
      </w:r>
      <w:bookmarkEnd w:id="16"/>
      <w:r>
        <w:rPr>
          <w:rFonts w:ascii="Calibri" w:hAnsi="Calibri"/>
          <w:b/>
          <w:sz w:val="22"/>
          <w:lang w:eastAsia="de-DE"/>
        </w:rPr>
        <w:t xml:space="preserve"> Direktion Landesarchäologie, Rheinisches Landesmuseum</w:t>
      </w:r>
    </w:p>
    <w:tbl>
      <w:tblPr>
        <w:tblW w:w="14454"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206"/>
        <w:gridCol w:w="14247"/>
      </w:tblGrid>
      <w:tr>
        <w:trPr>
          <w:tblHeader w:val="true"/>
        </w:trPr>
        <w:tc>
          <w:tcPr>
            <w:tcW w:w="14453" w:type="dxa"/>
            <w:gridSpan w:val="2"/>
            <w:tcBorders>
              <w:top w:val="single" w:sz="4" w:space="0" w:color="000000"/>
              <w:left w:val="single" w:sz="4" w:space="0" w:color="000000"/>
              <w:bottom w:val="single" w:sz="4" w:space="0" w:color="000000"/>
              <w:right w:val="single" w:sz="4" w:space="0" w:color="000000"/>
            </w:tcBorders>
            <w:shd w:color="auto" w:fill="FFFFFF" w:val="pct12"/>
          </w:tcPr>
          <w:p>
            <w:pPr>
              <w:pStyle w:val="Normal"/>
              <w:tabs>
                <w:tab w:val="clear" w:pos="709"/>
                <w:tab w:val="left" w:pos="1875" w:leader="none"/>
              </w:tabs>
              <w:suppressAutoHyphens w:val="false"/>
              <w:ind w:right="113"/>
              <w:jc w:val="both"/>
              <w:rPr>
                <w:rFonts w:ascii="Calibri" w:hAnsi="Calibri"/>
                <w:b/>
                <w:sz w:val="22"/>
                <w:lang w:eastAsia="de-DE"/>
              </w:rPr>
            </w:pPr>
            <w:r>
              <w:rPr>
                <w:rFonts w:ascii="Calibri" w:hAnsi="Calibri"/>
                <w:b/>
                <w:sz w:val="22"/>
                <w:lang w:eastAsia="de-DE"/>
              </w:rPr>
              <w:t>Anregung</w:t>
            </w:r>
          </w:p>
        </w:tc>
      </w:tr>
      <w:tr>
        <w:trPr/>
        <w:tc>
          <w:tcPr>
            <w:tcW w:w="206" w:type="dxa"/>
            <w:tcBorders>
              <w:top w:val="single" w:sz="4" w:space="0" w:color="000000"/>
              <w:left w:val="single" w:sz="4" w:space="0" w:color="000000"/>
              <w:bottom w:val="single" w:sz="4" w:space="0" w:color="000000"/>
            </w:tcBorders>
          </w:tcPr>
          <w:p>
            <w:pPr>
              <w:pStyle w:val="Normal"/>
              <w:widowControl w:val="false"/>
              <w:tabs>
                <w:tab w:val="clear" w:pos="709"/>
                <w:tab w:val="left" w:pos="708" w:leader="none"/>
                <w:tab w:val="center" w:pos="4536" w:leader="none"/>
                <w:tab w:val="right" w:pos="9072" w:leader="none"/>
              </w:tabs>
              <w:suppressAutoHyphens w:val="false"/>
              <w:ind w:right="113"/>
              <w:jc w:val="right"/>
              <w:rPr>
                <w:rFonts w:ascii="Calibri" w:hAnsi="Calibri"/>
                <w:sz w:val="16"/>
                <w:lang w:eastAsia="de-DE"/>
              </w:rPr>
            </w:pPr>
            <w:r>
              <w:rPr>
                <w:rFonts w:ascii="Calibri" w:hAnsi="Calibri"/>
                <w:sz w:val="16"/>
                <w:lang w:eastAsia="de-DE"/>
              </w:rPr>
            </w:r>
          </w:p>
        </w:tc>
        <w:tc>
          <w:tcPr>
            <w:tcW w:w="14247" w:type="dxa"/>
            <w:tcBorders>
              <w:top w:val="single" w:sz="4" w:space="0" w:color="000000"/>
              <w:bottom w:val="single" w:sz="4" w:space="0" w:color="000000"/>
              <w:right w:val="single" w:sz="4" w:space="0" w:color="000000"/>
            </w:tcBorders>
          </w:tcPr>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Die GDKE/Direktion Landesarchäologie-Außenstelle Trier wurde mit Schreiben vom 02.11.2022 an o.g. Verfahren beteiligt.</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Im Rahmen des Verfahrens zur Neuaufstellung des Flächennutzungsplanes hatte die GDKE/Landesarchäologie mit Schreiben vom 31.05.2019 Bedenken geäußert. Eine jüngere Bewertung der topografischen Gegebenheiten und Fundstellen hat nun zu dem Ergebnis geführt, dass archäologische Belange im Geltungsbereich weniger betroffen sind, als dies anfangs anzunehmen war. Bezüglich des Bebauungsplanverfahrens zieht die Direktion Landesarchäologie-Außenstelle Trier die Auflage einer Baggersondage zurück. Stattdessen verweisen wir darauf, dass eine Anzeige-, Erhaltungs- und Ablieferungspflicht für archäologische Funde bzw. Befunde besteht (§ 16-21 DSchG RLP), sofern diese bei den folgenden Maßnahmen zu Tage kommen.</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Diese Stellungnahme bezieht sich ausschließlich auf die Belange der Landesarchäologie-Trier. Gesonderte Stellungnahmen der Landesarchäologie-Erdgeschichte (</w:t>
            </w:r>
            <w:hyperlink r:id="rId5">
              <w:r>
                <w:rPr>
                  <w:rFonts w:eastAsia="Calibri" w:ascii="Calibri" w:hAnsi="Calibri"/>
                  <w:color w:val="0000FF"/>
                  <w:sz w:val="22"/>
                  <w:u w:val="single"/>
                  <w:lang w:eastAsia="de-DE"/>
                </w:rPr>
                <w:t>erdgeschichte@gdke.rlp.de</w:t>
              </w:r>
            </w:hyperlink>
            <w:r>
              <w:rPr>
                <w:rFonts w:eastAsia="Calibri" w:ascii="Calibri" w:hAnsi="Calibri"/>
                <w:sz w:val="22"/>
                <w:lang w:eastAsia="de-DE"/>
              </w:rPr>
              <w:t>) und der Landesdenkmalpflege (</w:t>
            </w:r>
            <w:hyperlink r:id="rId6">
              <w:r>
                <w:rPr>
                  <w:rFonts w:eastAsia="Calibri" w:ascii="Calibri" w:hAnsi="Calibri"/>
                  <w:color w:val="0000FF"/>
                  <w:sz w:val="22"/>
                  <w:u w:val="single"/>
                  <w:lang w:eastAsia="de-DE"/>
                </w:rPr>
                <w:t>landesdenkmalpflege@gdke.rlp.de</w:t>
              </w:r>
            </w:hyperlink>
            <w:r>
              <w:rPr>
                <w:rFonts w:eastAsia="Calibri" w:ascii="Calibri" w:hAnsi="Calibri"/>
                <w:sz w:val="22"/>
                <w:lang w:eastAsia="de-DE"/>
              </w:rPr>
              <w:t>) bleiben vorbehalten und sind ggf. noch einzuholen.</w:t>
            </w:r>
          </w:p>
        </w:tc>
      </w:tr>
    </w:tbl>
    <w:p>
      <w:pPr>
        <w:pStyle w:val="Normal"/>
        <w:keepNext w:val="true"/>
        <w:numPr>
          <w:ilvl w:val="0"/>
          <w:numId w:val="4"/>
        </w:numPr>
        <w:tabs>
          <w:tab w:val="clear" w:pos="709"/>
          <w:tab w:val="left" w:pos="2694" w:leader="none"/>
          <w:tab w:val="left" w:pos="8505" w:leader="none"/>
        </w:tabs>
        <w:suppressAutoHyphens w:val="false"/>
        <w:spacing w:before="360" w:after="100"/>
        <w:ind w:hanging="432" w:left="858" w:right="-29"/>
        <w:jc w:val="both"/>
        <w:outlineLvl w:val="0"/>
        <w:rPr>
          <w:rFonts w:ascii="Calibri" w:hAnsi="Calibri"/>
          <w:b/>
          <w:sz w:val="22"/>
          <w:lang w:eastAsia="de-DE"/>
        </w:rPr>
      </w:pPr>
      <w:bookmarkStart w:id="17" w:name="_Toc122069586"/>
      <w:r>
        <w:rPr>
          <w:rFonts w:ascii="Calibri" w:hAnsi="Calibri"/>
          <w:b/>
          <w:sz w:val="22"/>
          <w:lang w:eastAsia="de-DE"/>
        </w:rPr>
        <w:t>Generaldirektion Kulturelles Erbe</w:t>
      </w:r>
      <w:bookmarkEnd w:id="17"/>
      <w:r>
        <w:rPr>
          <w:rFonts w:ascii="Calibri" w:hAnsi="Calibri"/>
          <w:b/>
          <w:sz w:val="22"/>
          <w:lang w:eastAsia="de-DE"/>
        </w:rPr>
        <w:t xml:space="preserve"> Direktion Landesarchäologie/Erdgeschichte</w:t>
      </w:r>
    </w:p>
    <w:tbl>
      <w:tblPr>
        <w:tblW w:w="14454"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206"/>
        <w:gridCol w:w="14247"/>
      </w:tblGrid>
      <w:tr>
        <w:trPr>
          <w:tblHeader w:val="true"/>
        </w:trPr>
        <w:tc>
          <w:tcPr>
            <w:tcW w:w="14453" w:type="dxa"/>
            <w:gridSpan w:val="2"/>
            <w:tcBorders>
              <w:top w:val="single" w:sz="4" w:space="0" w:color="000000"/>
              <w:left w:val="single" w:sz="4" w:space="0" w:color="000000"/>
              <w:bottom w:val="single" w:sz="4" w:space="0" w:color="000000"/>
              <w:right w:val="single" w:sz="4" w:space="0" w:color="000000"/>
            </w:tcBorders>
            <w:shd w:color="auto" w:fill="FFFFFF" w:val="pct12"/>
          </w:tcPr>
          <w:p>
            <w:pPr>
              <w:pStyle w:val="Normal"/>
              <w:tabs>
                <w:tab w:val="clear" w:pos="709"/>
                <w:tab w:val="left" w:pos="1875" w:leader="none"/>
              </w:tabs>
              <w:suppressAutoHyphens w:val="false"/>
              <w:ind w:right="113"/>
              <w:jc w:val="both"/>
              <w:rPr>
                <w:rFonts w:ascii="Calibri" w:hAnsi="Calibri"/>
                <w:b/>
                <w:sz w:val="22"/>
                <w:lang w:eastAsia="de-DE"/>
              </w:rPr>
            </w:pPr>
            <w:r>
              <w:rPr>
                <w:rFonts w:ascii="Calibri" w:hAnsi="Calibri"/>
                <w:b/>
                <w:sz w:val="22"/>
                <w:lang w:eastAsia="de-DE"/>
              </w:rPr>
              <w:t>Anregung</w:t>
            </w:r>
          </w:p>
        </w:tc>
      </w:tr>
      <w:tr>
        <w:trPr/>
        <w:tc>
          <w:tcPr>
            <w:tcW w:w="206" w:type="dxa"/>
            <w:tcBorders>
              <w:top w:val="single" w:sz="4" w:space="0" w:color="000000"/>
              <w:left w:val="single" w:sz="4" w:space="0" w:color="000000"/>
              <w:bottom w:val="single" w:sz="4" w:space="0" w:color="000000"/>
            </w:tcBorders>
          </w:tcPr>
          <w:p>
            <w:pPr>
              <w:pStyle w:val="Normal"/>
              <w:widowControl w:val="false"/>
              <w:tabs>
                <w:tab w:val="clear" w:pos="709"/>
                <w:tab w:val="left" w:pos="708" w:leader="none"/>
                <w:tab w:val="center" w:pos="4536" w:leader="none"/>
                <w:tab w:val="right" w:pos="9072" w:leader="none"/>
              </w:tabs>
              <w:suppressAutoHyphens w:val="false"/>
              <w:ind w:right="113"/>
              <w:jc w:val="right"/>
              <w:rPr>
                <w:rFonts w:ascii="Calibri" w:hAnsi="Calibri" w:cs="Calibri"/>
                <w:sz w:val="22"/>
                <w:szCs w:val="22"/>
                <w:lang w:eastAsia="de-DE"/>
              </w:rPr>
            </w:pPr>
            <w:r>
              <w:rPr>
                <w:rFonts w:cs="Calibri" w:ascii="Calibri" w:hAnsi="Calibri"/>
                <w:sz w:val="22"/>
                <w:szCs w:val="22"/>
                <w:lang w:eastAsia="de-DE"/>
              </w:rPr>
            </w:r>
          </w:p>
        </w:tc>
        <w:tc>
          <w:tcPr>
            <w:tcW w:w="14247" w:type="dxa"/>
            <w:tcBorders>
              <w:top w:val="single" w:sz="4" w:space="0" w:color="000000"/>
              <w:bottom w:val="single" w:sz="4" w:space="0" w:color="000000"/>
              <w:right w:val="single" w:sz="4" w:space="0" w:color="000000"/>
            </w:tcBorders>
          </w:tcPr>
          <w:p>
            <w:pPr>
              <w:pStyle w:val="Normal"/>
              <w:suppressAutoHyphens w:val="false"/>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r>
          </w:p>
          <w:p>
            <w:pPr>
              <w:pStyle w:val="Normal"/>
              <w:suppressAutoHyphens w:val="false"/>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Wir haben das unten bezeichnete Vorhaben zur Kenntnis genommen. Aus Sicht der Direktion Landesarchäologie/Abteilung Erdgeschichte bestehen hiergegen keine Bedenken. Am weiteren Verfahren müssen wir nicht mehr beteiligt werden.</w:t>
            </w:r>
          </w:p>
          <w:p>
            <w:pPr>
              <w:pStyle w:val="Normal"/>
              <w:suppressAutoHyphens w:val="false"/>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r>
          </w:p>
          <w:p>
            <w:pPr>
              <w:pStyle w:val="Normal"/>
              <w:suppressAutoHyphens w:val="false"/>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Gesonderte Stellungnahmen der Direktion Landesdenkmalpflege/Abteilung Praktische Denkmalpflege Mainz und der Direktion Landesarchäologie/Außenstelle Trier bleiben vorbehalten und sind ggf. noch einzuholen.</w:t>
            </w:r>
          </w:p>
        </w:tc>
      </w:tr>
    </w:tbl>
    <w:p>
      <w:pPr>
        <w:pStyle w:val="Normal"/>
        <w:keepNext w:val="true"/>
        <w:numPr>
          <w:ilvl w:val="0"/>
          <w:numId w:val="4"/>
        </w:numPr>
        <w:tabs>
          <w:tab w:val="clear" w:pos="709"/>
          <w:tab w:val="left" w:pos="2694" w:leader="none"/>
          <w:tab w:val="left" w:pos="8505" w:leader="none"/>
        </w:tabs>
        <w:suppressAutoHyphens w:val="false"/>
        <w:spacing w:before="360" w:after="100"/>
        <w:ind w:hanging="432" w:left="858" w:right="-29"/>
        <w:jc w:val="both"/>
        <w:outlineLvl w:val="0"/>
        <w:rPr>
          <w:rFonts w:ascii="Calibri" w:hAnsi="Calibri"/>
          <w:b/>
          <w:sz w:val="22"/>
          <w:lang w:eastAsia="de-DE"/>
        </w:rPr>
      </w:pPr>
      <w:bookmarkStart w:id="18" w:name="_Toc122069587"/>
      <w:r>
        <w:rPr>
          <w:rFonts w:ascii="Calibri" w:hAnsi="Calibri"/>
          <w:b/>
          <w:sz w:val="22"/>
          <w:lang w:eastAsia="de-DE"/>
        </w:rPr>
        <w:t>Handwerkskammer Trier</w:t>
      </w:r>
      <w:bookmarkEnd w:id="18"/>
    </w:p>
    <w:tbl>
      <w:tblPr>
        <w:tblW w:w="14454"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206"/>
        <w:gridCol w:w="14247"/>
      </w:tblGrid>
      <w:tr>
        <w:trPr>
          <w:tblHeader w:val="true"/>
        </w:trPr>
        <w:tc>
          <w:tcPr>
            <w:tcW w:w="14453" w:type="dxa"/>
            <w:gridSpan w:val="2"/>
            <w:tcBorders>
              <w:top w:val="single" w:sz="4" w:space="0" w:color="000000"/>
              <w:left w:val="single" w:sz="4" w:space="0" w:color="000000"/>
              <w:bottom w:val="single" w:sz="4" w:space="0" w:color="000000"/>
              <w:right w:val="single" w:sz="4" w:space="0" w:color="000000"/>
            </w:tcBorders>
            <w:shd w:color="auto" w:fill="FFFFFF" w:val="pct12"/>
          </w:tcPr>
          <w:p>
            <w:pPr>
              <w:pStyle w:val="Normal"/>
              <w:tabs>
                <w:tab w:val="clear" w:pos="709"/>
                <w:tab w:val="left" w:pos="1875" w:leader="none"/>
              </w:tabs>
              <w:suppressAutoHyphens w:val="false"/>
              <w:ind w:right="113"/>
              <w:jc w:val="both"/>
              <w:rPr>
                <w:rFonts w:ascii="Calibri" w:hAnsi="Calibri"/>
                <w:b/>
                <w:sz w:val="22"/>
                <w:lang w:eastAsia="de-DE"/>
              </w:rPr>
            </w:pPr>
            <w:r>
              <w:rPr>
                <w:rFonts w:ascii="Calibri" w:hAnsi="Calibri"/>
                <w:b/>
                <w:sz w:val="22"/>
                <w:lang w:eastAsia="de-DE"/>
              </w:rPr>
              <w:t>Anregung</w:t>
            </w:r>
          </w:p>
        </w:tc>
      </w:tr>
      <w:tr>
        <w:trPr/>
        <w:tc>
          <w:tcPr>
            <w:tcW w:w="206" w:type="dxa"/>
            <w:tcBorders>
              <w:top w:val="single" w:sz="4" w:space="0" w:color="000000"/>
              <w:left w:val="single" w:sz="4" w:space="0" w:color="000000"/>
              <w:bottom w:val="single" w:sz="4" w:space="0" w:color="000000"/>
            </w:tcBorders>
          </w:tcPr>
          <w:p>
            <w:pPr>
              <w:pStyle w:val="Normal"/>
              <w:widowControl w:val="false"/>
              <w:tabs>
                <w:tab w:val="clear" w:pos="709"/>
                <w:tab w:val="left" w:pos="708" w:leader="none"/>
                <w:tab w:val="center" w:pos="4536" w:leader="none"/>
                <w:tab w:val="right" w:pos="9072" w:leader="none"/>
              </w:tabs>
              <w:suppressAutoHyphens w:val="false"/>
              <w:ind w:right="113"/>
              <w:jc w:val="right"/>
              <w:rPr>
                <w:rFonts w:ascii="Calibri" w:hAnsi="Calibri"/>
                <w:sz w:val="16"/>
                <w:highlight w:val="yellow"/>
                <w:lang w:eastAsia="de-DE"/>
              </w:rPr>
            </w:pPr>
            <w:r>
              <w:rPr>
                <w:rFonts w:ascii="Calibri" w:hAnsi="Calibri"/>
                <w:sz w:val="16"/>
                <w:highlight w:val="yellow"/>
                <w:lang w:eastAsia="de-DE"/>
              </w:rPr>
            </w:r>
          </w:p>
        </w:tc>
        <w:tc>
          <w:tcPr>
            <w:tcW w:w="14247" w:type="dxa"/>
            <w:tcBorders>
              <w:top w:val="single" w:sz="4" w:space="0" w:color="000000"/>
              <w:bottom w:val="single" w:sz="4" w:space="0" w:color="000000"/>
              <w:right w:val="single" w:sz="4" w:space="0" w:color="000000"/>
            </w:tcBorders>
          </w:tcPr>
          <w:p>
            <w:pPr>
              <w:pStyle w:val="Normal"/>
              <w:suppressAutoHyphens w:val="false"/>
              <w:ind w:right="113"/>
              <w:jc w:val="both"/>
              <w:rPr>
                <w:rFonts w:ascii="Calibri" w:hAnsi="Calibri"/>
                <w:sz w:val="22"/>
                <w:lang w:eastAsia="de-DE"/>
              </w:rPr>
            </w:pPr>
            <w:r>
              <w:rPr>
                <w:rFonts w:ascii="Calibri" w:hAnsi="Calibri"/>
                <w:sz w:val="22"/>
                <w:lang w:eastAsia="de-DE"/>
              </w:rPr>
            </w:r>
          </w:p>
          <w:p>
            <w:pPr>
              <w:pStyle w:val="Normal"/>
              <w:suppressAutoHyphens w:val="false"/>
              <w:ind w:right="113"/>
              <w:jc w:val="both"/>
              <w:rPr>
                <w:rFonts w:ascii="Calibri" w:hAnsi="Calibri" w:eastAsia="Calibri"/>
                <w:sz w:val="22"/>
                <w:lang w:eastAsia="de-DE"/>
              </w:rPr>
            </w:pPr>
            <w:r>
              <w:rPr>
                <w:rFonts w:ascii="Calibri" w:hAnsi="Calibri"/>
                <w:sz w:val="22"/>
                <w:lang w:eastAsia="de-DE"/>
              </w:rPr>
              <w:t>bezugnehmend auf Ihr vorgenanntes Schreiben teilen wir Ihnen mit, dass gegen das o. g. Vorhaben unsererseits keine Bedenken erhoben werden.</w:t>
            </w:r>
          </w:p>
        </w:tc>
      </w:tr>
    </w:tbl>
    <w:p>
      <w:pPr>
        <w:pStyle w:val="Normal"/>
        <w:keepNext w:val="true"/>
        <w:numPr>
          <w:ilvl w:val="0"/>
          <w:numId w:val="4"/>
        </w:numPr>
        <w:tabs>
          <w:tab w:val="clear" w:pos="709"/>
          <w:tab w:val="left" w:pos="2694" w:leader="none"/>
          <w:tab w:val="left" w:pos="8505" w:leader="none"/>
        </w:tabs>
        <w:suppressAutoHyphens w:val="false"/>
        <w:spacing w:before="360" w:after="100"/>
        <w:ind w:hanging="432" w:left="858" w:right="-29"/>
        <w:jc w:val="both"/>
        <w:outlineLvl w:val="0"/>
        <w:rPr>
          <w:rFonts w:ascii="Calibri" w:hAnsi="Calibri"/>
          <w:b/>
          <w:sz w:val="22"/>
          <w:lang w:eastAsia="de-DE"/>
        </w:rPr>
      </w:pPr>
      <w:bookmarkStart w:id="19" w:name="_Toc122069588"/>
      <w:r>
        <w:rPr>
          <w:rFonts w:ascii="Calibri" w:hAnsi="Calibri"/>
          <w:b/>
          <w:sz w:val="22"/>
          <w:lang w:eastAsia="de-DE"/>
        </w:rPr>
        <w:t>Industrie- und Handelskammer Trier</w:t>
      </w:r>
      <w:bookmarkEnd w:id="19"/>
    </w:p>
    <w:tbl>
      <w:tblPr>
        <w:tblW w:w="14454"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206"/>
        <w:gridCol w:w="14247"/>
      </w:tblGrid>
      <w:tr>
        <w:trPr>
          <w:tblHeader w:val="true"/>
        </w:trPr>
        <w:tc>
          <w:tcPr>
            <w:tcW w:w="14453" w:type="dxa"/>
            <w:gridSpan w:val="2"/>
            <w:tcBorders>
              <w:top w:val="single" w:sz="4" w:space="0" w:color="000000"/>
              <w:left w:val="single" w:sz="4" w:space="0" w:color="000000"/>
              <w:bottom w:val="single" w:sz="4" w:space="0" w:color="000000"/>
              <w:right w:val="single" w:sz="4" w:space="0" w:color="000000"/>
            </w:tcBorders>
            <w:shd w:color="auto" w:fill="FFFFFF" w:val="pct12"/>
          </w:tcPr>
          <w:p>
            <w:pPr>
              <w:pStyle w:val="Normal"/>
              <w:tabs>
                <w:tab w:val="clear" w:pos="709"/>
                <w:tab w:val="left" w:pos="1875" w:leader="none"/>
              </w:tabs>
              <w:suppressAutoHyphens w:val="false"/>
              <w:ind w:right="113"/>
              <w:jc w:val="both"/>
              <w:rPr>
                <w:rFonts w:ascii="Calibri" w:hAnsi="Calibri"/>
                <w:b/>
                <w:sz w:val="22"/>
                <w:lang w:eastAsia="de-DE"/>
              </w:rPr>
            </w:pPr>
            <w:r>
              <w:rPr>
                <w:rFonts w:ascii="Calibri" w:hAnsi="Calibri"/>
                <w:b/>
                <w:sz w:val="22"/>
                <w:lang w:eastAsia="de-DE"/>
              </w:rPr>
              <w:t>Anregung</w:t>
            </w:r>
          </w:p>
        </w:tc>
      </w:tr>
      <w:tr>
        <w:trPr/>
        <w:tc>
          <w:tcPr>
            <w:tcW w:w="206" w:type="dxa"/>
            <w:tcBorders>
              <w:top w:val="single" w:sz="4" w:space="0" w:color="000000"/>
              <w:left w:val="single" w:sz="4" w:space="0" w:color="000000"/>
              <w:bottom w:val="single" w:sz="4" w:space="0" w:color="000000"/>
            </w:tcBorders>
          </w:tcPr>
          <w:p>
            <w:pPr>
              <w:pStyle w:val="Normal"/>
              <w:widowControl w:val="false"/>
              <w:tabs>
                <w:tab w:val="clear" w:pos="709"/>
                <w:tab w:val="left" w:pos="708" w:leader="none"/>
                <w:tab w:val="center" w:pos="4536" w:leader="none"/>
                <w:tab w:val="right" w:pos="9072" w:leader="none"/>
              </w:tabs>
              <w:suppressAutoHyphens w:val="false"/>
              <w:ind w:right="113"/>
              <w:jc w:val="right"/>
              <w:rPr>
                <w:rFonts w:ascii="Calibri" w:hAnsi="Calibri"/>
                <w:sz w:val="16"/>
                <w:highlight w:val="yellow"/>
                <w:lang w:eastAsia="de-DE"/>
              </w:rPr>
            </w:pPr>
            <w:r>
              <w:rPr>
                <w:rFonts w:ascii="Calibri" w:hAnsi="Calibri"/>
                <w:sz w:val="16"/>
                <w:highlight w:val="yellow"/>
                <w:lang w:eastAsia="de-DE"/>
              </w:rPr>
            </w:r>
          </w:p>
        </w:tc>
        <w:tc>
          <w:tcPr>
            <w:tcW w:w="14247" w:type="dxa"/>
            <w:tcBorders>
              <w:top w:val="single" w:sz="4" w:space="0" w:color="000000"/>
              <w:bottom w:val="single" w:sz="4" w:space="0" w:color="000000"/>
              <w:right w:val="single" w:sz="4" w:space="0" w:color="000000"/>
            </w:tcBorders>
          </w:tcPr>
          <w:p>
            <w:pPr>
              <w:pStyle w:val="Normal"/>
              <w:suppressAutoHyphens w:val="false"/>
              <w:ind w:right="113"/>
              <w:jc w:val="both"/>
              <w:rPr>
                <w:rFonts w:ascii="Calibri" w:hAnsi="Calibri"/>
                <w:sz w:val="22"/>
                <w:lang w:eastAsia="de-DE"/>
              </w:rPr>
            </w:pPr>
            <w:r>
              <w:rPr>
                <w:rFonts w:ascii="Calibri" w:hAnsi="Calibri"/>
                <w:sz w:val="22"/>
                <w:lang w:eastAsia="de-DE"/>
              </w:rPr>
            </w:r>
          </w:p>
          <w:p>
            <w:pPr>
              <w:pStyle w:val="Normal"/>
              <w:suppressAutoHyphens w:val="false"/>
              <w:ind w:right="113"/>
              <w:jc w:val="both"/>
              <w:rPr>
                <w:rFonts w:ascii="Calibri" w:hAnsi="Calibri"/>
                <w:sz w:val="22"/>
                <w:lang w:eastAsia="de-DE"/>
              </w:rPr>
            </w:pPr>
            <w:r>
              <w:rPr>
                <w:rFonts w:ascii="Calibri" w:hAnsi="Calibri"/>
                <w:sz w:val="22"/>
                <w:lang w:eastAsia="de-DE"/>
              </w:rPr>
              <w:t xml:space="preserve">vielen Dank für die Beteiligung an dem oben genannten Verfahren. </w:t>
            </w:r>
          </w:p>
          <w:p>
            <w:pPr>
              <w:pStyle w:val="Normal"/>
              <w:suppressAutoHyphens w:val="false"/>
              <w:ind w:right="113"/>
              <w:jc w:val="both"/>
              <w:rPr>
                <w:rFonts w:ascii="Calibri" w:hAnsi="Calibri"/>
                <w:sz w:val="22"/>
                <w:lang w:eastAsia="de-DE"/>
              </w:rPr>
            </w:pPr>
            <w:r>
              <w:rPr>
                <w:rFonts w:ascii="Calibri" w:hAnsi="Calibri"/>
                <w:sz w:val="22"/>
                <w:lang w:eastAsia="de-DE"/>
              </w:rPr>
            </w:r>
          </w:p>
          <w:p>
            <w:pPr>
              <w:pStyle w:val="Normal"/>
              <w:suppressAutoHyphens w:val="false"/>
              <w:ind w:right="113"/>
              <w:jc w:val="both"/>
              <w:rPr>
                <w:rFonts w:ascii="Calibri" w:hAnsi="Calibri"/>
                <w:sz w:val="22"/>
                <w:lang w:eastAsia="de-DE"/>
              </w:rPr>
            </w:pPr>
            <w:r>
              <w:rPr>
                <w:rFonts w:ascii="Calibri" w:hAnsi="Calibri"/>
                <w:sz w:val="22"/>
                <w:lang w:eastAsia="de-DE"/>
              </w:rPr>
              <w:t xml:space="preserve">Die nord-östlich und östlich an das Planungsgebiet direkt angrenzenden Flächen sind gewerblich geprägt. Beeinträchtigungen für die dort ansässigen Betriebe, die durch die heranrückende Wohn-bebauung entstehen könnten, sollten im Rahmen der Bauleitplanung ausgeschlossen werden. </w:t>
            </w:r>
          </w:p>
          <w:p>
            <w:pPr>
              <w:pStyle w:val="Normal"/>
              <w:suppressAutoHyphens w:val="false"/>
              <w:ind w:right="113"/>
              <w:jc w:val="both"/>
              <w:rPr>
                <w:rFonts w:ascii="Calibri" w:hAnsi="Calibri"/>
                <w:sz w:val="22"/>
                <w:lang w:eastAsia="de-DE"/>
              </w:rPr>
            </w:pPr>
            <w:r>
              <w:rPr>
                <w:rFonts w:ascii="Calibri" w:hAnsi="Calibri"/>
                <w:sz w:val="22"/>
                <w:lang w:eastAsia="de-DE"/>
              </w:rPr>
            </w:r>
          </w:p>
          <w:p>
            <w:pPr>
              <w:pStyle w:val="Normal"/>
              <w:suppressAutoHyphens w:val="false"/>
              <w:ind w:right="113"/>
              <w:jc w:val="both"/>
              <w:rPr>
                <w:rFonts w:ascii="Calibri" w:hAnsi="Calibri"/>
                <w:sz w:val="22"/>
                <w:lang w:eastAsia="de-DE"/>
              </w:rPr>
            </w:pPr>
            <w:r>
              <w:rPr>
                <w:rFonts w:ascii="Calibri" w:hAnsi="Calibri"/>
                <w:sz w:val="22"/>
                <w:lang w:eastAsia="de-DE"/>
              </w:rPr>
              <w:t>Daher ist es zu begrüßen, dass eine Nutzungsmischung angestrebt wird und kein reines Wohngebiet.</w:t>
            </w:r>
          </w:p>
          <w:p>
            <w:pPr>
              <w:pStyle w:val="Normal"/>
              <w:suppressAutoHyphens w:val="false"/>
              <w:ind w:right="113"/>
              <w:jc w:val="both"/>
              <w:rPr>
                <w:rFonts w:ascii="Calibri" w:hAnsi="Calibri"/>
                <w:sz w:val="22"/>
                <w:lang w:eastAsia="de-DE"/>
              </w:rPr>
            </w:pPr>
            <w:r>
              <w:rPr>
                <w:rFonts w:ascii="Calibri" w:hAnsi="Calibri"/>
                <w:sz w:val="22"/>
                <w:lang w:eastAsia="de-DE"/>
              </w:rPr>
            </w:r>
          </w:p>
          <w:p>
            <w:pPr>
              <w:pStyle w:val="Normal"/>
              <w:suppressAutoHyphens w:val="false"/>
              <w:ind w:right="113"/>
              <w:jc w:val="both"/>
              <w:rPr>
                <w:rFonts w:ascii="Calibri" w:hAnsi="Calibri"/>
                <w:sz w:val="22"/>
                <w:lang w:eastAsia="de-DE"/>
              </w:rPr>
            </w:pPr>
            <w:r>
              <w:rPr>
                <w:rFonts w:ascii="Calibri" w:hAnsi="Calibri"/>
                <w:sz w:val="22"/>
                <w:lang w:eastAsia="de-DE"/>
              </w:rPr>
              <w:t>Sofern im weiteren Verfahren dargelegt wird, dass für die angrenzenden Betriebe keine Beeinträchtigungen zu erwarten sind, stehen dem Bebauungsplanverfahren aus Sicht der Industrie- und Handelskammer Trier keine grundlegenden Bedenken entgegen</w:t>
            </w:r>
          </w:p>
        </w:tc>
      </w:tr>
    </w:tbl>
    <w:p>
      <w:pPr>
        <w:pStyle w:val="Normal"/>
        <w:keepNext w:val="true"/>
        <w:numPr>
          <w:ilvl w:val="0"/>
          <w:numId w:val="0"/>
        </w:numPr>
        <w:tabs>
          <w:tab w:val="clear" w:pos="709"/>
          <w:tab w:val="left" w:pos="2694" w:leader="none"/>
          <w:tab w:val="left" w:pos="8505" w:leader="none"/>
        </w:tabs>
        <w:suppressAutoHyphens w:val="false"/>
        <w:spacing w:before="360" w:after="100"/>
        <w:ind w:left="858" w:right="-29"/>
        <w:outlineLvl w:val="0"/>
        <w:rPr>
          <w:rFonts w:ascii="Calibri" w:hAnsi="Calibri"/>
          <w:b/>
          <w:sz w:val="22"/>
          <w:lang w:eastAsia="de-DE"/>
        </w:rPr>
      </w:pPr>
      <w:r>
        <w:rPr>
          <w:rFonts w:ascii="Calibri" w:hAnsi="Calibri"/>
          <w:b/>
          <w:sz w:val="22"/>
          <w:lang w:eastAsia="de-DE"/>
        </w:rPr>
      </w:r>
    </w:p>
    <w:p>
      <w:pPr>
        <w:pStyle w:val="Normal"/>
        <w:keepNext w:val="true"/>
        <w:numPr>
          <w:ilvl w:val="0"/>
          <w:numId w:val="37"/>
        </w:numPr>
        <w:tabs>
          <w:tab w:val="clear" w:pos="709"/>
          <w:tab w:val="left" w:pos="2694" w:leader="none"/>
          <w:tab w:val="left" w:pos="8505" w:leader="none"/>
        </w:tabs>
        <w:suppressAutoHyphens w:val="false"/>
        <w:spacing w:before="360" w:after="100"/>
        <w:ind w:hanging="432" w:left="858" w:right="-29"/>
        <w:jc w:val="both"/>
        <w:outlineLvl w:val="0"/>
        <w:rPr>
          <w:rFonts w:ascii="Calibri" w:hAnsi="Calibri"/>
          <w:b/>
          <w:sz w:val="22"/>
          <w:lang w:eastAsia="de-DE"/>
        </w:rPr>
      </w:pPr>
      <w:bookmarkStart w:id="20" w:name="_Toc122069589"/>
      <w:r>
        <w:rPr>
          <w:rFonts w:ascii="Calibri" w:hAnsi="Calibri"/>
          <w:b/>
          <w:sz w:val="22"/>
          <w:lang w:eastAsia="de-DE"/>
        </w:rPr>
        <w:t>Kreisverwaltung</w:t>
      </w:r>
      <w:bookmarkEnd w:id="20"/>
      <w:r>
        <w:rPr>
          <w:rFonts w:ascii="Calibri" w:hAnsi="Calibri"/>
          <w:b/>
          <w:sz w:val="22"/>
          <w:lang w:eastAsia="de-DE"/>
        </w:rPr>
        <w:t xml:space="preserve"> Bernkastel-Wittlich, Bauleitplanung</w:t>
      </w:r>
    </w:p>
    <w:tbl>
      <w:tblPr>
        <w:tblW w:w="14454"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206"/>
        <w:gridCol w:w="14247"/>
      </w:tblGrid>
      <w:tr>
        <w:trPr>
          <w:tblHeader w:val="true"/>
        </w:trPr>
        <w:tc>
          <w:tcPr>
            <w:tcW w:w="14453" w:type="dxa"/>
            <w:gridSpan w:val="2"/>
            <w:tcBorders>
              <w:top w:val="single" w:sz="4" w:space="0" w:color="000000"/>
              <w:left w:val="single" w:sz="4" w:space="0" w:color="000000"/>
              <w:bottom w:val="single" w:sz="4" w:space="0" w:color="000000"/>
              <w:right w:val="single" w:sz="4" w:space="0" w:color="000000"/>
            </w:tcBorders>
            <w:shd w:color="auto" w:fill="FFFFFF" w:val="pct12"/>
          </w:tcPr>
          <w:p>
            <w:pPr>
              <w:pStyle w:val="Normal"/>
              <w:tabs>
                <w:tab w:val="clear" w:pos="709"/>
                <w:tab w:val="left" w:pos="1875" w:leader="none"/>
              </w:tabs>
              <w:suppressAutoHyphens w:val="false"/>
              <w:ind w:right="113"/>
              <w:jc w:val="both"/>
              <w:rPr>
                <w:rFonts w:ascii="Calibri" w:hAnsi="Calibri"/>
                <w:b/>
                <w:sz w:val="22"/>
                <w:lang w:eastAsia="de-DE"/>
              </w:rPr>
            </w:pPr>
            <w:r>
              <w:rPr>
                <w:rFonts w:ascii="Calibri" w:hAnsi="Calibri"/>
                <w:b/>
                <w:sz w:val="22"/>
                <w:lang w:eastAsia="de-DE"/>
              </w:rPr>
              <w:t>Anregung</w:t>
            </w:r>
          </w:p>
        </w:tc>
      </w:tr>
      <w:tr>
        <w:trPr>
          <w:trHeight w:val="523" w:hRule="atLeast"/>
        </w:trPr>
        <w:tc>
          <w:tcPr>
            <w:tcW w:w="206" w:type="dxa"/>
            <w:tcBorders>
              <w:top w:val="single" w:sz="4" w:space="0" w:color="000000"/>
              <w:left w:val="single" w:sz="4" w:space="0" w:color="000000"/>
              <w:bottom w:val="single" w:sz="4" w:space="0" w:color="000000"/>
            </w:tcBorders>
          </w:tcPr>
          <w:p>
            <w:pPr>
              <w:pStyle w:val="Normal"/>
              <w:suppressAutoHyphens w:val="false"/>
              <w:ind w:right="113"/>
              <w:jc w:val="both"/>
              <w:rPr>
                <w:rFonts w:ascii="Calibri" w:hAnsi="Calibri"/>
                <w:sz w:val="22"/>
                <w:lang w:eastAsia="de-DE"/>
              </w:rPr>
            </w:pPr>
            <w:r>
              <w:rPr>
                <w:rFonts w:ascii="Calibri" w:hAnsi="Calibri"/>
                <w:sz w:val="22"/>
                <w:lang w:eastAsia="de-DE"/>
              </w:rPr>
            </w:r>
          </w:p>
        </w:tc>
        <w:tc>
          <w:tcPr>
            <w:tcW w:w="14247" w:type="dxa"/>
            <w:tcBorders>
              <w:top w:val="single" w:sz="4" w:space="0" w:color="000000"/>
              <w:bottom w:val="single" w:sz="4" w:space="0" w:color="000000"/>
              <w:right w:val="single" w:sz="4" w:space="0" w:color="000000"/>
            </w:tcBorders>
          </w:tcPr>
          <w:p>
            <w:pPr>
              <w:pStyle w:val="Normal"/>
              <w:suppressAutoHyphens w:val="false"/>
              <w:ind w:right="113"/>
              <w:jc w:val="both"/>
              <w:rPr>
                <w:rFonts w:ascii="Calibri" w:hAnsi="Calibri" w:eastAsia="Arial Narrow"/>
                <w:bCs/>
                <w:sz w:val="22"/>
                <w:shd w:fill="FFFFFF" w:val="clear"/>
                <w:lang w:eastAsia="de-DE"/>
              </w:rPr>
            </w:pPr>
            <w:r>
              <w:rPr>
                <w:rFonts w:eastAsia="Arial Narrow" w:ascii="Calibri" w:hAnsi="Calibri"/>
                <w:bCs/>
                <w:sz w:val="22"/>
                <w:shd w:fill="FFFFFF" w:val="clear"/>
                <w:lang w:eastAsia="de-DE"/>
              </w:rPr>
            </w:r>
          </w:p>
          <w:p>
            <w:pPr>
              <w:pStyle w:val="Normal"/>
              <w:suppressAutoHyphens w:val="false"/>
              <w:ind w:right="113"/>
              <w:jc w:val="both"/>
              <w:rPr>
                <w:rFonts w:ascii="Calibri" w:hAnsi="Calibri" w:eastAsia="Arial Narrow"/>
                <w:bCs/>
                <w:sz w:val="22"/>
                <w:shd w:fill="FFFFFF" w:val="clear"/>
                <w:lang w:eastAsia="de-DE"/>
              </w:rPr>
            </w:pPr>
            <w:r>
              <w:rPr>
                <w:rFonts w:eastAsia="Arial Narrow" w:ascii="Calibri" w:hAnsi="Calibri"/>
                <w:bCs/>
                <w:sz w:val="22"/>
                <w:shd w:fill="FFFFFF" w:val="clear"/>
                <w:lang w:eastAsia="de-DE"/>
              </w:rPr>
              <w:t>In den v.g. Beteiligungsverfahren teile Ihnen die Hinweise, Anregungen und Bedenken der Kreisverwaltung Bernkastel-Wittlich wie folgt mit:</w:t>
            </w:r>
          </w:p>
          <w:p>
            <w:pPr>
              <w:pStyle w:val="Normal"/>
              <w:suppressAutoHyphens w:val="false"/>
              <w:ind w:right="113"/>
              <w:jc w:val="both"/>
              <w:rPr>
                <w:rFonts w:ascii="Calibri" w:hAnsi="Calibri" w:eastAsia="Arial Narrow"/>
                <w:bCs/>
                <w:sz w:val="22"/>
                <w:shd w:fill="FFFFFF" w:val="clear"/>
                <w:lang w:eastAsia="de-DE"/>
              </w:rPr>
            </w:pPr>
            <w:r>
              <w:rPr>
                <w:rFonts w:eastAsia="Arial Narrow" w:ascii="Calibri" w:hAnsi="Calibri"/>
                <w:bCs/>
                <w:sz w:val="22"/>
                <w:shd w:fill="FFFFFF" w:val="clear"/>
                <w:lang w:eastAsia="de-DE"/>
              </w:rPr>
            </w:r>
          </w:p>
          <w:p>
            <w:pPr>
              <w:pStyle w:val="Normal"/>
              <w:suppressAutoHyphens w:val="false"/>
              <w:ind w:right="113"/>
              <w:jc w:val="both"/>
              <w:rPr>
                <w:rFonts w:ascii="Calibri" w:hAnsi="Calibri" w:eastAsia="Arial Narrow"/>
                <w:b/>
                <w:bCs/>
                <w:sz w:val="22"/>
                <w:shd w:fill="FFFFFF" w:val="clear"/>
                <w:lang w:eastAsia="de-DE"/>
              </w:rPr>
            </w:pPr>
            <w:r>
              <w:rPr>
                <w:rFonts w:eastAsia="Arial Narrow" w:ascii="Calibri" w:hAnsi="Calibri"/>
                <w:b/>
                <w:bCs/>
                <w:sz w:val="22"/>
                <w:shd w:fill="FFFFFF" w:val="clear"/>
                <w:lang w:eastAsia="de-DE"/>
              </w:rPr>
              <w:t xml:space="preserve">Gegen die Aufstellung des Bebauungsplanes (BPlan) bestehen aus planungsrechtlicher Sicht </w:t>
            </w:r>
            <w:r>
              <w:rPr>
                <w:rFonts w:eastAsia="Arial Narrow" w:ascii="Calibri" w:hAnsi="Calibri"/>
                <w:b/>
                <w:bCs/>
                <w:sz w:val="22"/>
                <w:u w:val="single"/>
                <w:shd w:fill="FFFFFF" w:val="clear"/>
                <w:lang w:eastAsia="de-DE"/>
              </w:rPr>
              <w:t>erhebliche Bedenken</w:t>
            </w:r>
            <w:r>
              <w:rPr>
                <w:rFonts w:eastAsia="Arial Narrow" w:ascii="Calibri" w:hAnsi="Calibri"/>
                <w:b/>
                <w:bCs/>
                <w:sz w:val="22"/>
                <w:shd w:fill="FFFFFF" w:val="clear"/>
                <w:lang w:eastAsia="de-DE"/>
              </w:rPr>
              <w:t>:</w:t>
            </w:r>
          </w:p>
          <w:p>
            <w:pPr>
              <w:pStyle w:val="Normal"/>
              <w:suppressAutoHyphens w:val="false"/>
              <w:ind w:right="113"/>
              <w:jc w:val="both"/>
              <w:rPr>
                <w:rFonts w:ascii="Calibri" w:hAnsi="Calibri" w:eastAsia="Arial Narrow"/>
                <w:b/>
                <w:bCs/>
                <w:sz w:val="22"/>
                <w:shd w:fill="FFFFFF" w:val="clear"/>
                <w:lang w:eastAsia="de-DE"/>
              </w:rPr>
            </w:pPr>
            <w:r>
              <w:rPr>
                <w:rFonts w:eastAsia="Arial Narrow" w:ascii="Calibri" w:hAnsi="Calibri"/>
                <w:b/>
                <w:bCs/>
                <w:sz w:val="22"/>
                <w:shd w:fill="FFFFFF" w:val="clear"/>
                <w:lang w:eastAsia="de-DE"/>
              </w:rPr>
            </w:r>
          </w:p>
          <w:p>
            <w:pPr>
              <w:pStyle w:val="Normal"/>
              <w:suppressAutoHyphens w:val="false"/>
              <w:ind w:right="113"/>
              <w:jc w:val="both"/>
              <w:rPr>
                <w:rFonts w:ascii="Calibri" w:hAnsi="Calibri" w:eastAsia="Arial Narrow"/>
                <w:bCs/>
                <w:sz w:val="22"/>
                <w:shd w:fill="FFFFFF" w:val="clear"/>
                <w:lang w:eastAsia="de-DE"/>
              </w:rPr>
            </w:pPr>
            <w:r>
              <w:rPr>
                <w:rFonts w:eastAsia="Arial Narrow" w:ascii="Calibri" w:hAnsi="Calibri"/>
                <w:bCs/>
                <w:sz w:val="22"/>
                <w:shd w:fill="FFFFFF" w:val="clear"/>
                <w:lang w:eastAsia="de-DE"/>
              </w:rPr>
              <w:t>Die Ortsgemeinde plant ausweislich der Begründung des BPlans die Ausweisung einer Wohnbaufläche. In der Begründung unter Ziffer 1 wird ausdrücklich von einer angemessenen „</w:t>
            </w:r>
            <w:r>
              <w:rPr>
                <w:rFonts w:eastAsia="Arial Narrow" w:ascii="Calibri" w:hAnsi="Calibri"/>
                <w:bCs/>
                <w:sz w:val="22"/>
                <w:u w:val="single"/>
                <w:shd w:fill="FFFFFF" w:val="clear"/>
                <w:lang w:eastAsia="de-DE"/>
              </w:rPr>
              <w:t>Wohn</w:t>
            </w:r>
            <w:r>
              <w:rPr>
                <w:rFonts w:eastAsia="Arial Narrow" w:ascii="Calibri" w:hAnsi="Calibri"/>
                <w:bCs/>
                <w:sz w:val="22"/>
                <w:shd w:fill="FFFFFF" w:val="clear"/>
                <w:lang w:eastAsia="de-DE"/>
              </w:rPr>
              <w:t>bautätigkeit“ gesprochen. Ausführungen, die darauf schließen lassen könnten, dass im Planbereich auch die Ansiedlung von „</w:t>
            </w:r>
            <w:r>
              <w:rPr>
                <w:rFonts w:eastAsia="Arial Narrow" w:ascii="Calibri" w:hAnsi="Calibri"/>
                <w:bCs/>
                <w:sz w:val="22"/>
                <w:u w:val="single"/>
                <w:shd w:fill="FFFFFF" w:val="clear"/>
                <w:lang w:eastAsia="de-DE"/>
              </w:rPr>
              <w:t>Wirtschaftsstellen</w:t>
            </w:r>
            <w:r>
              <w:rPr>
                <w:rFonts w:eastAsia="Arial Narrow" w:ascii="Calibri" w:hAnsi="Calibri"/>
                <w:bCs/>
                <w:sz w:val="22"/>
                <w:shd w:fill="FFFFFF" w:val="clear"/>
                <w:lang w:eastAsia="de-DE"/>
              </w:rPr>
              <w:t xml:space="preserve"> land- und forstwirtschaftlicher Betriebe“ </w:t>
            </w:r>
            <w:r>
              <w:rPr>
                <w:rFonts w:eastAsia="Arial Narrow" w:ascii="Calibri" w:hAnsi="Calibri"/>
                <w:bCs/>
                <w:sz w:val="22"/>
                <w:u w:val="single"/>
                <w:shd w:fill="FFFFFF" w:val="clear"/>
                <w:lang w:eastAsia="de-DE"/>
              </w:rPr>
              <w:t>und</w:t>
            </w:r>
            <w:r>
              <w:rPr>
                <w:rFonts w:eastAsia="Arial Narrow" w:ascii="Calibri" w:hAnsi="Calibri"/>
                <w:bCs/>
                <w:sz w:val="22"/>
                <w:shd w:fill="FFFFFF" w:val="clear"/>
                <w:lang w:eastAsia="de-DE"/>
              </w:rPr>
              <w:t xml:space="preserve"> „nicht wesentlich störenden Gewerbebetrieben“ erforderlich und seitens der Ortsgemeinde gewünscht ist, sind der Begründung nicht zu entnehmen.</w:t>
            </w:r>
          </w:p>
          <w:p>
            <w:pPr>
              <w:pStyle w:val="Normal"/>
              <w:suppressAutoHyphens w:val="false"/>
              <w:ind w:right="113"/>
              <w:jc w:val="both"/>
              <w:rPr>
                <w:rFonts w:ascii="Calibri" w:hAnsi="Calibri" w:eastAsia="Arial Narrow"/>
                <w:bCs/>
                <w:sz w:val="22"/>
                <w:shd w:fill="FFFFFF" w:val="clear"/>
                <w:lang w:eastAsia="de-DE"/>
              </w:rPr>
            </w:pPr>
            <w:r>
              <w:rPr>
                <w:rFonts w:eastAsia="Arial Narrow" w:ascii="Calibri" w:hAnsi="Calibri"/>
                <w:bCs/>
                <w:sz w:val="22"/>
                <w:shd w:fill="FFFFFF" w:val="clear"/>
                <w:lang w:eastAsia="de-DE"/>
              </w:rPr>
            </w:r>
          </w:p>
          <w:p>
            <w:pPr>
              <w:pStyle w:val="Normal"/>
              <w:suppressAutoHyphens w:val="false"/>
              <w:ind w:right="113"/>
              <w:jc w:val="both"/>
              <w:rPr>
                <w:rFonts w:ascii="Calibri" w:hAnsi="Calibri" w:eastAsia="Arial Narrow"/>
                <w:bCs/>
                <w:sz w:val="22"/>
                <w:shd w:fill="FFFFFF" w:val="clear"/>
                <w:lang w:eastAsia="de-DE"/>
              </w:rPr>
            </w:pPr>
            <w:r>
              <w:rPr>
                <w:rFonts w:eastAsia="Arial Narrow" w:ascii="Calibri" w:hAnsi="Calibri"/>
                <w:bCs/>
                <w:sz w:val="22"/>
                <w:shd w:fill="FFFFFF" w:val="clear"/>
                <w:lang w:eastAsia="de-DE"/>
              </w:rPr>
              <w:t xml:space="preserve">Mittels BPlan soll vorliegend ein Dorfgebiet gem. § 5 BauNVO ausgewiesen werden. Die Zweckbestimmung eines Dorfgebietes ist gem. § 5 Abs. 1 BauNVO die „Unterbringung der </w:t>
            </w:r>
            <w:r>
              <w:rPr>
                <w:rFonts w:eastAsia="Arial Narrow" w:ascii="Calibri" w:hAnsi="Calibri"/>
                <w:bCs/>
                <w:sz w:val="22"/>
                <w:u w:val="single"/>
                <w:shd w:fill="FFFFFF" w:val="clear"/>
                <w:lang w:eastAsia="de-DE"/>
              </w:rPr>
              <w:t>Wirtschaftsstellen</w:t>
            </w:r>
            <w:r>
              <w:rPr>
                <w:rFonts w:eastAsia="Arial Narrow" w:ascii="Calibri" w:hAnsi="Calibri"/>
                <w:bCs/>
                <w:sz w:val="22"/>
                <w:shd w:fill="FFFFFF" w:val="clear"/>
                <w:lang w:eastAsia="de-DE"/>
              </w:rPr>
              <w:t xml:space="preserve"> land- und forstwirtschaftlicher Betriebe, das Wohnen, die Unterbringung von nicht wesentlich störenden Gewerbebetrieben sowie der Versorgung der Bewohner des Gebietes dienenden Handwerksbetriebe“. Auf die Belange der Landwirtschaft ist dabei vorrangig Rücksicht zu nehmen.</w:t>
            </w:r>
          </w:p>
          <w:p>
            <w:pPr>
              <w:pStyle w:val="Normal"/>
              <w:suppressAutoHyphens w:val="false"/>
              <w:ind w:right="113"/>
              <w:jc w:val="both"/>
              <w:rPr>
                <w:rFonts w:ascii="Calibri" w:hAnsi="Calibri" w:eastAsia="Arial Narrow"/>
                <w:bCs/>
                <w:sz w:val="22"/>
                <w:shd w:fill="FFFFFF" w:val="clear"/>
                <w:lang w:eastAsia="de-DE"/>
              </w:rPr>
            </w:pPr>
            <w:r>
              <w:rPr>
                <w:rFonts w:eastAsia="Arial Narrow" w:ascii="Calibri" w:hAnsi="Calibri"/>
                <w:bCs/>
                <w:sz w:val="22"/>
                <w:shd w:fill="FFFFFF" w:val="clear"/>
                <w:lang w:eastAsia="de-DE"/>
              </w:rPr>
              <w:t xml:space="preserve">Grundsätzlich ist bei der Ausweisung eines Dorfgebietes, und insbes. Bei der vollständigen Neuausweisung eines Gebietes, von einem </w:t>
            </w:r>
            <w:r>
              <w:rPr>
                <w:rFonts w:eastAsia="Arial Narrow" w:ascii="Calibri" w:hAnsi="Calibri"/>
                <w:bCs/>
                <w:sz w:val="22"/>
                <w:u w:val="single"/>
                <w:shd w:fill="FFFFFF" w:val="clear"/>
                <w:lang w:eastAsia="de-DE"/>
              </w:rPr>
              <w:t xml:space="preserve">gleichwertigen </w:t>
            </w:r>
            <w:r>
              <w:rPr>
                <w:rFonts w:eastAsia="Arial Narrow" w:ascii="Calibri" w:hAnsi="Calibri"/>
                <w:bCs/>
                <w:sz w:val="22"/>
                <w:shd w:fill="FFFFFF" w:val="clear"/>
                <w:lang w:eastAsia="de-DE"/>
              </w:rPr>
              <w:t>Nebeneinander der vg. 3 Hauptfunktionen auszugehen. Darazs folgt zwar nicht, dass diese im exakt gleichen Mischungsverhältnis vorhanden sein müssen; jedoch ist das Vorhandensein aller 3 Nutzungsarten mit einem „angemessen städtebaulichen Gewicht“ und der entsprechenden „Prägung des Gebietes“ zwingend erforderlich. Die Ansiedlung einer (kleinen) landwirtschaftlichen Wirtschaftsstelle sowie eines (kleinen) gewerblichen Betriebes reichen bei der Gesamtgröße des Plangebietes deutlich nicht aus.</w:t>
            </w:r>
          </w:p>
          <w:p>
            <w:pPr>
              <w:pStyle w:val="Normal"/>
              <w:suppressAutoHyphens w:val="false"/>
              <w:ind w:right="113"/>
              <w:jc w:val="both"/>
              <w:rPr>
                <w:rFonts w:ascii="Calibri" w:hAnsi="Calibri" w:eastAsia="Arial Narrow"/>
                <w:bCs/>
                <w:sz w:val="22"/>
                <w:shd w:fill="FFFFFF" w:val="clear"/>
                <w:lang w:eastAsia="de-DE"/>
              </w:rPr>
            </w:pPr>
            <w:r>
              <w:rPr>
                <w:rFonts w:eastAsia="Arial Narrow" w:ascii="Calibri" w:hAnsi="Calibri"/>
                <w:bCs/>
                <w:sz w:val="22"/>
                <w:shd w:fill="FFFFFF" w:val="clear"/>
                <w:lang w:eastAsia="de-DE"/>
              </w:rPr>
            </w:r>
          </w:p>
          <w:p>
            <w:pPr>
              <w:pStyle w:val="Normal"/>
              <w:suppressAutoHyphens w:val="false"/>
              <w:ind w:right="113"/>
              <w:jc w:val="both"/>
              <w:rPr>
                <w:rFonts w:ascii="Calibri" w:hAnsi="Calibri" w:eastAsia="Arial Narrow"/>
                <w:bCs/>
                <w:sz w:val="22"/>
                <w:shd w:fill="FFFFFF" w:val="clear"/>
                <w:lang w:eastAsia="de-DE"/>
              </w:rPr>
            </w:pPr>
            <w:r>
              <w:rPr>
                <w:rFonts w:eastAsia="Arial Narrow" w:ascii="Calibri" w:hAnsi="Calibri"/>
                <w:bCs/>
                <w:sz w:val="22"/>
                <w:shd w:fill="FFFFFF" w:val="clear"/>
                <w:lang w:eastAsia="de-DE"/>
              </w:rPr>
              <w:t xml:space="preserve">Diesen vorgenannten Ansprüchen genügt die vorgesehene Planung </w:t>
            </w:r>
            <w:r>
              <w:rPr>
                <w:rFonts w:eastAsia="Arial Narrow" w:ascii="Calibri" w:hAnsi="Calibri"/>
                <w:bCs/>
                <w:sz w:val="22"/>
                <w:u w:val="single"/>
                <w:shd w:fill="FFFFFF" w:val="clear"/>
                <w:lang w:eastAsia="de-DE"/>
              </w:rPr>
              <w:t>nicht</w:t>
            </w:r>
            <w:r>
              <w:rPr>
                <w:rFonts w:eastAsia="Arial Narrow" w:ascii="Calibri" w:hAnsi="Calibri"/>
                <w:bCs/>
                <w:sz w:val="22"/>
                <w:shd w:fill="FFFFFF" w:val="clear"/>
                <w:lang w:eastAsia="de-DE"/>
              </w:rPr>
              <w:t>. Wie bereits oben ausgeführt ist aus der Begründung zum BPlan eindeutig zu erkennen, dass die Gemeinde eigentlich eine Wohnbebauung anstrebt. Untermauert wird dies dadurch, dass das bestehende allgemeine Wohngebiet „Auf’m hohlen Weg“ augenscheinlich nur weitergeführt werden soll. Die Erschließungsstraßen dieses Gebietes werden lediglich „verlängert“, jedoch in einer noch geringeren Breite, die eine Befahrbarkeit mit landwirtschaftlichen oder gewerblichen Fahrzeugen nicht nur erschweren, sondern nahezu unmöglich erscheinen lassen. Gleiches gilt für die überbaubare Flächen des geplanten Gebietes. Diese sind mit einer Grundstückstiefe von lediglich 16 m zur Ansiedlung von gewerblichen oder landwirtschaftlichen Betrieben ungeeignet.</w:t>
            </w:r>
          </w:p>
          <w:p>
            <w:pPr>
              <w:pStyle w:val="Normal"/>
              <w:suppressAutoHyphens w:val="false"/>
              <w:ind w:right="113"/>
              <w:jc w:val="both"/>
              <w:rPr>
                <w:rFonts w:ascii="Calibri" w:hAnsi="Calibri" w:eastAsia="Arial Narrow"/>
                <w:bCs/>
                <w:sz w:val="22"/>
                <w:shd w:fill="FFFFFF" w:val="clear"/>
                <w:lang w:eastAsia="de-DE"/>
              </w:rPr>
            </w:pPr>
            <w:r>
              <w:rPr>
                <w:rFonts w:eastAsia="Arial Narrow" w:ascii="Calibri" w:hAnsi="Calibri"/>
                <w:bCs/>
                <w:sz w:val="22"/>
                <w:shd w:fill="FFFFFF" w:val="clear"/>
                <w:lang w:eastAsia="de-DE"/>
              </w:rPr>
            </w:r>
          </w:p>
          <w:p>
            <w:pPr>
              <w:pStyle w:val="Normal"/>
              <w:suppressAutoHyphens w:val="false"/>
              <w:ind w:right="113"/>
              <w:jc w:val="both"/>
              <w:rPr>
                <w:rFonts w:ascii="Calibri" w:hAnsi="Calibri" w:eastAsia="Arial Narrow"/>
                <w:bCs/>
                <w:sz w:val="22"/>
                <w:u w:val="single"/>
                <w:shd w:fill="FFFFFF" w:val="clear"/>
                <w:lang w:eastAsia="de-DE"/>
              </w:rPr>
            </w:pPr>
            <w:r>
              <w:rPr>
                <w:rFonts w:eastAsia="Arial Narrow" w:ascii="Calibri" w:hAnsi="Calibri"/>
                <w:bCs/>
                <w:sz w:val="22"/>
                <w:shd w:fill="FFFFFF" w:val="clear"/>
                <w:lang w:eastAsia="de-DE"/>
              </w:rPr>
              <w:t xml:space="preserve">Insgesamt erscheint offensichtlich, dass durch die vorgelegte Planung eine nahezu reine Wohnbebauung zur Errichtung von 1 oder 2-Familienhäusern umgesetzt werden soll; nicht jedoch die Ansiedlung gewerblicher Betriebe und landwirtschaftlicher </w:t>
            </w:r>
            <w:r>
              <w:rPr>
                <w:rFonts w:eastAsia="Arial Narrow" w:ascii="Calibri" w:hAnsi="Calibri"/>
                <w:bCs/>
                <w:sz w:val="22"/>
                <w:u w:val="single"/>
                <w:shd w:fill="FFFFFF" w:val="clear"/>
                <w:lang w:eastAsia="de-DE"/>
              </w:rPr>
              <w:t>Wirtschaftsstellen.</w:t>
            </w:r>
          </w:p>
          <w:p>
            <w:pPr>
              <w:pStyle w:val="Normal"/>
              <w:suppressAutoHyphens w:val="false"/>
              <w:ind w:right="113"/>
              <w:jc w:val="both"/>
              <w:rPr>
                <w:rFonts w:ascii="Calibri" w:hAnsi="Calibri" w:eastAsia="Arial Narrow"/>
                <w:bCs/>
                <w:sz w:val="22"/>
                <w:shd w:fill="FFFFFF" w:val="clear"/>
                <w:lang w:eastAsia="de-DE"/>
              </w:rPr>
            </w:pPr>
            <w:r>
              <w:rPr>
                <w:rFonts w:eastAsia="Arial Narrow" w:ascii="Calibri" w:hAnsi="Calibri"/>
                <w:bCs/>
                <w:sz w:val="22"/>
                <w:shd w:fill="FFFFFF" w:val="clear"/>
                <w:lang w:eastAsia="de-DE"/>
              </w:rPr>
              <w:t xml:space="preserve">Soll jedoch die wahre Planungsabsicht (Wohnbebauung) in einem dafür ungeeigneten Gebietstypus (hier Dorfgebiet) umgesetzt werden, ist die Planung </w:t>
            </w:r>
            <w:r>
              <w:rPr>
                <w:rFonts w:eastAsia="Arial Narrow" w:ascii="Calibri" w:hAnsi="Calibri"/>
                <w:bCs/>
                <w:sz w:val="22"/>
                <w:u w:val="single"/>
                <w:shd w:fill="FFFFFF" w:val="clear"/>
                <w:lang w:eastAsia="de-DE"/>
              </w:rPr>
              <w:t>nicht erforderlich</w:t>
            </w:r>
            <w:r>
              <w:rPr>
                <w:rFonts w:eastAsia="Arial Narrow" w:ascii="Calibri" w:hAnsi="Calibri"/>
                <w:bCs/>
                <w:sz w:val="22"/>
                <w:shd w:fill="FFFFFF" w:val="clear"/>
                <w:lang w:eastAsia="de-DE"/>
              </w:rPr>
              <w:t xml:space="preserve"> im Sinne des § 1 Abs.3 BauGB und durch deren Umsetzung würde ein sog. „Etikettenschwindel“ beschlossen.</w:t>
            </w:r>
          </w:p>
          <w:p>
            <w:pPr>
              <w:pStyle w:val="Normal"/>
              <w:suppressAutoHyphens w:val="false"/>
              <w:ind w:right="113"/>
              <w:jc w:val="both"/>
              <w:rPr>
                <w:rFonts w:ascii="Calibri" w:hAnsi="Calibri" w:eastAsia="Arial Narrow"/>
                <w:bCs/>
                <w:sz w:val="22"/>
                <w:shd w:fill="FFFFFF" w:val="clear"/>
                <w:lang w:eastAsia="de-DE"/>
              </w:rPr>
            </w:pPr>
            <w:r>
              <w:rPr>
                <w:rFonts w:eastAsia="Arial Narrow" w:ascii="Calibri" w:hAnsi="Calibri"/>
                <w:bCs/>
                <w:sz w:val="22"/>
                <w:shd w:fill="FFFFFF" w:val="clear"/>
                <w:lang w:eastAsia="de-DE"/>
              </w:rPr>
            </w:r>
          </w:p>
          <w:p>
            <w:pPr>
              <w:pStyle w:val="Normal"/>
              <w:suppressAutoHyphens w:val="false"/>
              <w:ind w:right="113"/>
              <w:jc w:val="both"/>
              <w:rPr>
                <w:rFonts w:ascii="Calibri" w:hAnsi="Calibri" w:eastAsia="Arial Narrow"/>
                <w:bCs/>
                <w:sz w:val="22"/>
                <w:shd w:fill="FFFFFF" w:val="clear"/>
                <w:lang w:eastAsia="de-DE"/>
              </w:rPr>
            </w:pPr>
            <w:r>
              <w:rPr>
                <w:rFonts w:eastAsia="Arial Narrow" w:ascii="Calibri" w:hAnsi="Calibri"/>
                <w:bCs/>
                <w:sz w:val="22"/>
                <w:shd w:fill="FFFFFF" w:val="clear"/>
                <w:lang w:eastAsia="de-DE"/>
              </w:rPr>
              <w:t>Die vorgesehene Planung wäre jedoch auch aus raumordnerischen Gesichtspunkten nicht statthaft, da diese mit den Vorgaben des in Aufstellung befindlichen regionalen Raumordnungsplan (ROPneu) nicht vereinbar ist (sog. Schwellenproblematik).</w:t>
            </w:r>
          </w:p>
          <w:p>
            <w:pPr>
              <w:pStyle w:val="Normal"/>
              <w:suppressAutoHyphens w:val="false"/>
              <w:ind w:right="113"/>
              <w:jc w:val="both"/>
              <w:rPr>
                <w:rFonts w:ascii="Calibri" w:hAnsi="Calibri" w:eastAsia="Arial Narrow"/>
                <w:bCs/>
                <w:sz w:val="22"/>
                <w:shd w:fill="FFFFFF" w:val="clear"/>
                <w:lang w:eastAsia="de-DE"/>
              </w:rPr>
            </w:pPr>
            <w:r>
              <w:rPr>
                <w:rFonts w:eastAsia="Arial Narrow" w:ascii="Calibri" w:hAnsi="Calibri"/>
                <w:bCs/>
                <w:sz w:val="22"/>
                <w:shd w:fill="FFFFFF" w:val="clear"/>
                <w:lang w:eastAsia="de-DE"/>
              </w:rPr>
              <w:t>Die Schwellenwerte (Kap. II.2.5 ROPneu) legen die Obergrenze der weiteren Wohnbauflächenentwicklung auf Ebene des Flächennutzungsplans fest. Die Verbandsgemeinde Bernkastel-Kues hat in ihrer Gesamtfortschreibung des Flächennutzungsplans (FNP) im Rahmen der Festlegung von Wohn- und Mischbauflächen den zulässigen Schwellenwert eingehalten. Bei der entsprechenden Berechnung können/ dürfen gemischte Bauflächen, um eine solche handelt es sich vorliegend im FNP, nur zu ½ auf die Schwellenwerte angerechnet werden, da diese grundsätzlich auch nur zu ½ zur Wohnbauflächenentwicklung zur Verfügung stehen.</w:t>
            </w:r>
          </w:p>
          <w:p>
            <w:pPr>
              <w:pStyle w:val="Normal"/>
              <w:suppressAutoHyphens w:val="false"/>
              <w:ind w:right="113"/>
              <w:jc w:val="both"/>
              <w:rPr>
                <w:rFonts w:ascii="Calibri" w:hAnsi="Calibri" w:eastAsia="Arial Narrow"/>
                <w:bCs/>
                <w:sz w:val="22"/>
                <w:shd w:fill="FFFFFF" w:val="clear"/>
                <w:lang w:eastAsia="de-DE"/>
              </w:rPr>
            </w:pPr>
            <w:r>
              <w:rPr>
                <w:rFonts w:eastAsia="Arial Narrow" w:ascii="Calibri" w:hAnsi="Calibri"/>
                <w:bCs/>
                <w:sz w:val="22"/>
                <w:shd w:fill="FFFFFF" w:val="clear"/>
                <w:lang w:eastAsia="de-DE"/>
              </w:rPr>
              <w:t>Würde nach einer Ausweisung eines Dorfgebietes dieses überwiegend oder vollständig mit Wohngebäuden bebaut, wäre dies sowohl gegen die Festlegung des FNP als auch gegen die Zielfestsetzung des ROPneu anzusehen.</w:t>
            </w:r>
          </w:p>
          <w:p>
            <w:pPr>
              <w:pStyle w:val="Normal"/>
              <w:suppressAutoHyphens w:val="false"/>
              <w:ind w:right="113"/>
              <w:jc w:val="both"/>
              <w:rPr>
                <w:rFonts w:ascii="Calibri" w:hAnsi="Calibri" w:eastAsia="Arial Narrow"/>
                <w:bCs/>
                <w:sz w:val="22"/>
                <w:shd w:fill="FFFFFF" w:val="clear"/>
                <w:lang w:eastAsia="de-DE"/>
              </w:rPr>
            </w:pPr>
            <w:r>
              <w:rPr>
                <w:rFonts w:eastAsia="Arial Narrow" w:ascii="Calibri" w:hAnsi="Calibri"/>
                <w:bCs/>
                <w:sz w:val="22"/>
                <w:shd w:fill="FFFFFF" w:val="clear"/>
                <w:lang w:eastAsia="de-DE"/>
              </w:rPr>
            </w:r>
          </w:p>
          <w:p>
            <w:pPr>
              <w:pStyle w:val="Normal"/>
              <w:suppressAutoHyphens w:val="false"/>
              <w:ind w:right="113"/>
              <w:jc w:val="both"/>
              <w:rPr>
                <w:rFonts w:ascii="Calibri" w:hAnsi="Calibri"/>
                <w:b/>
                <w:sz w:val="22"/>
                <w:lang w:eastAsia="de-DE"/>
              </w:rPr>
            </w:pPr>
            <w:r>
              <w:rPr>
                <w:rFonts w:ascii="Calibri" w:hAnsi="Calibri"/>
                <w:b/>
                <w:sz w:val="22"/>
                <w:lang w:eastAsia="de-DE"/>
              </w:rPr>
              <w:t xml:space="preserve">Aus vorgenannten Gründen kann der beabsichtigten Planung der Ortsgemeinde Lieser seitens der unteren Landesplanungsbehörde </w:t>
            </w:r>
            <w:r>
              <w:rPr>
                <w:rFonts w:ascii="Calibri" w:hAnsi="Calibri"/>
                <w:b/>
                <w:sz w:val="22"/>
                <w:u w:val="single"/>
                <w:lang w:eastAsia="de-DE"/>
              </w:rPr>
              <w:t>nicht</w:t>
            </w:r>
            <w:r>
              <w:rPr>
                <w:rFonts w:ascii="Calibri" w:hAnsi="Calibri"/>
                <w:b/>
                <w:sz w:val="22"/>
                <w:lang w:eastAsia="de-DE"/>
              </w:rPr>
              <w:t xml:space="preserve"> zugestimmt werden.</w:t>
            </w:r>
          </w:p>
          <w:p>
            <w:pPr>
              <w:pStyle w:val="Normal"/>
              <w:suppressAutoHyphens w:val="false"/>
              <w:ind w:right="113"/>
              <w:jc w:val="both"/>
              <w:rPr>
                <w:rFonts w:ascii="Calibri" w:hAnsi="Calibri"/>
                <w:b/>
                <w:sz w:val="22"/>
                <w:lang w:eastAsia="de-DE"/>
              </w:rPr>
            </w:pPr>
            <w:r>
              <w:rPr>
                <w:rFonts w:ascii="Calibri" w:hAnsi="Calibri"/>
                <w:b/>
                <w:sz w:val="22"/>
                <w:lang w:eastAsia="de-DE"/>
              </w:rPr>
            </w:r>
          </w:p>
          <w:p>
            <w:pPr>
              <w:pStyle w:val="Normal"/>
              <w:suppressAutoHyphens w:val="false"/>
              <w:ind w:right="113"/>
              <w:jc w:val="both"/>
              <w:rPr>
                <w:rFonts w:ascii="Calibri" w:hAnsi="Calibri"/>
                <w:sz w:val="22"/>
                <w:lang w:eastAsia="de-DE"/>
              </w:rPr>
            </w:pPr>
            <w:r>
              <w:rPr>
                <w:rFonts w:ascii="Calibri" w:hAnsi="Calibri"/>
                <w:sz w:val="22"/>
                <w:lang w:eastAsia="de-DE"/>
              </w:rPr>
              <w:t xml:space="preserve">Der Ortsgemeinde Lieser wird empfohlen, die beabsichtige Planung dahingehend zu ändern, dass ein entsprechend flächenmäßig </w:t>
            </w:r>
            <w:r>
              <w:rPr>
                <w:rFonts w:ascii="Calibri" w:hAnsi="Calibri"/>
                <w:sz w:val="22"/>
                <w:u w:val="single"/>
                <w:lang w:eastAsia="de-DE"/>
              </w:rPr>
              <w:t>verkleinertes</w:t>
            </w:r>
            <w:r>
              <w:rPr>
                <w:rFonts w:ascii="Calibri" w:hAnsi="Calibri"/>
                <w:sz w:val="22"/>
                <w:lang w:eastAsia="de-DE"/>
              </w:rPr>
              <w:t xml:space="preserve"> „Allgemeines Wohngebiet“ gem. § 4 BauNVO ausgewiesen wird. Die dazu erforderliche Änderung des Flächennutzungsplans kann im Rahmen einer Einzelfortschreibung (schnellste Variante) oder im Rahmen der 1. Gesamtfortschreibung umgesetzt werden. </w:t>
              <w:br/>
              <w:t>Ob der derzeit im Planbereich befindliche landwirtschaftliche Betrieb mit in die Planung einbezogen wird, sollte ggf. nochmals überdacht werden. Es erscheint auch möglich, diesen außerhalb des Planbereichs zu belassen und entsprechende Schutzfestsetzungen (Lärm, Geruch) für eine angrenzende Wohnbebauung nach den Vorschriften des § 1 Abs. 4 BauNVO festzulegen. Hier empfehle ich eine entsprechende planerische Einschätzung einzuholen.</w:t>
            </w:r>
          </w:p>
          <w:p>
            <w:pPr>
              <w:pStyle w:val="Normal"/>
              <w:suppressAutoHyphens w:val="false"/>
              <w:ind w:right="113"/>
              <w:jc w:val="both"/>
              <w:rPr>
                <w:rFonts w:ascii="Calibri" w:hAnsi="Calibri"/>
                <w:sz w:val="22"/>
                <w:lang w:eastAsia="de-DE"/>
              </w:rPr>
            </w:pPr>
            <w:r>
              <w:rPr>
                <w:rFonts w:ascii="Calibri" w:hAnsi="Calibri"/>
                <w:sz w:val="22"/>
                <w:lang w:eastAsia="de-DE"/>
              </w:rPr>
              <w:t xml:space="preserve">Auf eine eingehende weitere bauleitplanerische Prüfung der vorgelegten Unterlagen wird aufgrund der oben geschilderten Problematik vorerst verzichtet. </w:t>
            </w:r>
          </w:p>
          <w:p>
            <w:pPr>
              <w:pStyle w:val="Normal"/>
              <w:suppressAutoHyphens w:val="false"/>
              <w:ind w:right="113"/>
              <w:jc w:val="both"/>
              <w:rPr>
                <w:rFonts w:ascii="Calibri" w:hAnsi="Calibri"/>
                <w:sz w:val="22"/>
                <w:lang w:eastAsia="de-DE"/>
              </w:rPr>
            </w:pPr>
            <w:r>
              <w:rPr>
                <w:rFonts w:ascii="Calibri" w:hAnsi="Calibri"/>
                <w:sz w:val="22"/>
                <w:lang w:eastAsia="de-DE"/>
              </w:rPr>
            </w:r>
          </w:p>
          <w:p>
            <w:pPr>
              <w:pStyle w:val="Normal"/>
              <w:suppressAutoHyphens w:val="false"/>
              <w:ind w:right="113"/>
              <w:jc w:val="both"/>
              <w:rPr>
                <w:rFonts w:ascii="Calibri" w:hAnsi="Calibri"/>
                <w:sz w:val="22"/>
                <w:lang w:eastAsia="de-DE"/>
              </w:rPr>
            </w:pPr>
            <w:r>
              <w:rPr>
                <w:rFonts w:ascii="Calibri" w:hAnsi="Calibri"/>
                <w:sz w:val="22"/>
                <w:lang w:eastAsia="de-DE"/>
              </w:rPr>
              <w:t xml:space="preserve">Bei Rückfragen stehe ich gerne zur Verfügung. </w:t>
            </w:r>
            <w:bookmarkStart w:id="21" w:name="Bezug"/>
            <w:bookmarkEnd w:id="21"/>
          </w:p>
          <w:p>
            <w:pPr>
              <w:pStyle w:val="Normal"/>
              <w:suppressAutoHyphens w:val="false"/>
              <w:ind w:right="113"/>
              <w:jc w:val="both"/>
              <w:rPr>
                <w:rFonts w:ascii="Calibri" w:hAnsi="Calibri" w:cs="Calibri"/>
                <w:b/>
                <w:sz w:val="22"/>
                <w:u w:val="single"/>
                <w:lang w:eastAsia="de-DE"/>
              </w:rPr>
            </w:pPr>
            <w:r>
              <w:rPr>
                <w:rFonts w:cs="Calibri" w:ascii="Calibri" w:hAnsi="Calibri"/>
                <w:b/>
                <w:sz w:val="22"/>
                <w:u w:val="single"/>
                <w:lang w:eastAsia="de-DE"/>
              </w:rPr>
              <w:br/>
            </w:r>
            <w:r>
              <mc:AlternateContent>
                <mc:Choice Requires="wps">
                  <w:drawing>
                    <wp:anchor behindDoc="0" distT="0" distB="0" distL="0" distR="0" simplePos="0" locked="0" layoutInCell="1" allowOverlap="1" relativeHeight="10" wp14:anchorId="50107883">
                      <wp:simplePos x="0" y="0"/>
                      <wp:positionH relativeFrom="column">
                        <wp:posOffset>-941070</wp:posOffset>
                      </wp:positionH>
                      <wp:positionV relativeFrom="page">
                        <wp:posOffset>3564255</wp:posOffset>
                      </wp:positionV>
                      <wp:extent cx="380365" cy="635"/>
                      <wp:effectExtent l="5080" t="5080" r="5080" b="5080"/>
                      <wp:wrapNone/>
                      <wp:docPr id="1" name="Line 17"/>
                      <a:graphic xmlns:a="http://schemas.openxmlformats.org/drawingml/2006/main">
                        <a:graphicData uri="http://schemas.microsoft.com/office/word/2010/wordprocessingShape">
                          <wps:wsp>
                            <wps:cNvSpPr/>
                            <wps:spPr>
                              <a:xfrm>
                                <a:off x="0" y="0"/>
                                <a:ext cx="380520" cy="720"/>
                              </a:xfrm>
                              <a:prstGeom prst="line">
                                <a:avLst/>
                              </a:prstGeom>
                              <a:ln w="9525">
                                <a:solidFill>
                                  <a:srgbClr val="000000"/>
                                </a:solidFill>
                                <a:round/>
                              </a:ln>
                            </wps:spPr>
                            <wps:style>
                              <a:lnRef idx="0"/>
                              <a:fillRef idx="0"/>
                              <a:effectRef idx="0"/>
                              <a:fontRef idx="minor"/>
                            </wps:style>
                            <wps:bodyPr/>
                          </wps:wsp>
                        </a:graphicData>
                      </a:graphic>
                    </wp:anchor>
                  </w:drawing>
                </mc:Choice>
                <mc:Fallback>
                  <w:pict>
                    <v:line id="shape_0" from="-74.1pt,280.65pt" to="-44.2pt,280.65pt" ID="Line 17" stroked="t" o:allowincell="f" style="position:absolute;mso-position-vertical-relative:page" wp14:anchorId="50107883">
                      <v:stroke color="black" weight="9360" joinstyle="round" endcap="flat"/>
                      <v:fill o:detectmouseclick="t" on="false"/>
                      <w10:wrap type="none"/>
                    </v:line>
                  </w:pict>
                </mc:Fallback>
              </mc:AlternateContent>
            </w:r>
            <w:r>
              <w:rPr>
                <w:rFonts w:cs="Calibri" w:ascii="Calibri" w:hAnsi="Calibri"/>
                <w:b/>
                <w:sz w:val="22"/>
                <w:u w:val="single"/>
                <w:lang w:eastAsia="de-DE"/>
              </w:rPr>
              <w:t>Naturschutzfachliche Stellungnahme:</w:t>
            </w:r>
          </w:p>
          <w:p>
            <w:pPr>
              <w:pStyle w:val="Normal"/>
              <w:suppressAutoHyphens w:val="false"/>
              <w:spacing w:lineRule="auto" w:line="276" w:before="0" w:after="240"/>
              <w:rPr>
                <w:rFonts w:ascii="Calibri" w:hAnsi="Calibri" w:cs="Calibri"/>
                <w:color w:val="000000"/>
                <w:sz w:val="24"/>
                <w:szCs w:val="24"/>
                <w:lang w:eastAsia="de-DE"/>
              </w:rPr>
            </w:pPr>
            <w:r>
              <w:rPr>
                <w:rFonts w:cs="Calibri" w:ascii="Calibri" w:hAnsi="Calibri"/>
                <w:color w:val="000000"/>
                <w:sz w:val="24"/>
                <w:szCs w:val="24"/>
                <w:lang w:eastAsia="de-DE"/>
              </w:rPr>
              <w:t>Die Ortsgemeinde Lieser möchte den o.a. Bebauungsplan erlassen. Auf der Grundlage der vorgelegten Unterlagen wurden der Beirat für Naturschutz und die anerkannten Naturschutzverbände beteiligt.</w:t>
            </w:r>
          </w:p>
          <w:p>
            <w:pPr>
              <w:pStyle w:val="Normal"/>
              <w:suppressAutoHyphens w:val="false"/>
              <w:spacing w:lineRule="auto" w:line="276" w:before="0" w:after="240"/>
              <w:rPr>
                <w:rFonts w:ascii="Calibri" w:hAnsi="Calibri" w:cs="Calibri"/>
                <w:color w:val="000000"/>
                <w:sz w:val="24"/>
                <w:lang w:eastAsia="de-DE"/>
              </w:rPr>
            </w:pPr>
            <w:r>
              <w:rPr>
                <w:rFonts w:cs="Calibri" w:ascii="Calibri" w:hAnsi="Calibri"/>
                <w:color w:val="000000"/>
                <w:sz w:val="24"/>
                <w:szCs w:val="24"/>
                <w:lang w:eastAsia="de-DE"/>
              </w:rPr>
              <w:t>Aus naturschutzfachlicher Sicht ist die Planung im Rahmen der o.g. Verfahrensschritte, wie</w:t>
            </w:r>
            <w:r>
              <w:rPr>
                <w:rFonts w:cs="Calibri" w:ascii="Calibri" w:hAnsi="Calibri"/>
                <w:color w:val="000000"/>
                <w:sz w:val="24"/>
                <w:lang w:eastAsia="de-DE"/>
              </w:rPr>
              <w:t xml:space="preserve"> </w:t>
            </w:r>
            <w:r>
              <w:rPr>
                <w:rFonts w:cs="Calibri" w:ascii="Calibri" w:hAnsi="Calibri"/>
                <w:color w:val="000000"/>
                <w:sz w:val="24"/>
                <w:szCs w:val="24"/>
                <w:lang w:eastAsia="de-DE"/>
              </w:rPr>
              <w:t>folgt, zu beurteilen:</w:t>
            </w:r>
          </w:p>
          <w:p>
            <w:pPr>
              <w:pStyle w:val="Normal"/>
              <w:suppressAutoHyphens w:val="false"/>
              <w:spacing w:lineRule="auto" w:line="276" w:before="0" w:after="240"/>
              <w:rPr>
                <w:rFonts w:ascii="Calibri" w:hAnsi="Calibri" w:cs="Calibri"/>
                <w:color w:val="000000"/>
                <w:sz w:val="24"/>
                <w:lang w:eastAsia="de-DE"/>
              </w:rPr>
            </w:pPr>
            <w:r>
              <w:rPr>
                <w:rFonts w:cs="Calibri" w:ascii="Calibri" w:hAnsi="Calibri"/>
                <w:color w:val="000000"/>
                <w:sz w:val="24"/>
                <w:szCs w:val="24"/>
                <w:lang w:eastAsia="de-DE"/>
              </w:rPr>
              <w:t>Derzeit besteht das Gebiet aus Grünland, Weinbergen, Streuobstbrachen und einem Feldgehölz. Es ergibt sich eine Neuversiegelungsfläche von 12.570 m². Aufgrund des vielfältigen Lebensraumangebots haben sich diverse, auf der Rote Liste auftauchende Vogelarten angesiedelt</w:t>
            </w:r>
            <w:r>
              <w:rPr>
                <w:rFonts w:cs="Calibri" w:ascii="Calibri" w:hAnsi="Calibri"/>
                <w:color w:val="000000"/>
                <w:sz w:val="24"/>
                <w:lang w:eastAsia="de-DE"/>
              </w:rPr>
              <w:t xml:space="preserve"> </w:t>
            </w:r>
            <w:r>
              <w:rPr>
                <w:rFonts w:cs="Calibri" w:ascii="Calibri" w:hAnsi="Calibri"/>
                <w:color w:val="000000"/>
                <w:sz w:val="24"/>
                <w:szCs w:val="24"/>
                <w:lang w:eastAsia="de-DE"/>
              </w:rPr>
              <w:t>(Neuntöter, Klappergrasmücke, Bluthänfling, Goldammer). Weiterhin konnten 12 Fledermausarten nachgewiesen werden. Eine besondere Bedeutung als Jagdhabitat und Transferraum</w:t>
            </w:r>
            <w:r>
              <w:rPr>
                <w:rFonts w:cs="Calibri" w:ascii="Calibri" w:hAnsi="Calibri"/>
                <w:color w:val="000000"/>
                <w:sz w:val="24"/>
                <w:lang w:eastAsia="de-DE"/>
              </w:rPr>
              <w:t xml:space="preserve"> </w:t>
            </w:r>
            <w:r>
              <w:rPr>
                <w:rFonts w:cs="Calibri" w:ascii="Calibri" w:hAnsi="Calibri"/>
                <w:color w:val="000000"/>
                <w:sz w:val="24"/>
                <w:szCs w:val="24"/>
                <w:lang w:eastAsia="de-DE"/>
              </w:rPr>
              <w:t>weist das Plangebiet für die Arten Zwergfledermaus, Bartfledermäuse und das Artpaar Langohrfledermaus auf. Zur Kompensation des Lebensraumverlustes und der Flächenversiegelung soll</w:t>
            </w:r>
            <w:r>
              <w:rPr>
                <w:rFonts w:cs="Calibri" w:ascii="Calibri" w:hAnsi="Calibri"/>
                <w:color w:val="000000"/>
                <w:sz w:val="24"/>
                <w:lang w:eastAsia="de-DE"/>
              </w:rPr>
              <w:t xml:space="preserve"> </w:t>
            </w:r>
            <w:r>
              <w:rPr>
                <w:rFonts w:cs="Calibri" w:ascii="Calibri" w:hAnsi="Calibri"/>
                <w:color w:val="000000"/>
                <w:sz w:val="24"/>
                <w:szCs w:val="24"/>
                <w:lang w:eastAsia="de-DE"/>
              </w:rPr>
              <w:t>am nördlichen Rand des Geltungsbereiches eine Gehölzpflanzung mit der Einbindung von Obstbäumen und außerhalb des Geltungsbereiches die Ausweisung einer extensiv zu nutzendenGrünlandfläche mit Gehölzpflanzung erfolgen. Unter Punkt 8 des Umweltberichtes wird aufgeführt, dass für die Kompensation noch eine Restfläche von ca. 6.350 m² zu leisten ist. Diese</w:t>
            </w:r>
          </w:p>
          <w:p>
            <w:pPr>
              <w:pStyle w:val="Normal"/>
              <w:suppressAutoHyphens w:val="false"/>
              <w:spacing w:lineRule="auto" w:line="276" w:before="0" w:after="240"/>
              <w:rPr>
                <w:rFonts w:ascii="Calibri" w:hAnsi="Calibri"/>
                <w:sz w:val="24"/>
                <w:lang w:eastAsia="de-DE"/>
              </w:rPr>
            </w:pPr>
            <w:r>
              <w:rPr>
                <w:rFonts w:cs="Calibri" w:ascii="Calibri" w:hAnsi="Calibri"/>
                <w:color w:val="000000"/>
                <w:sz w:val="24"/>
                <w:szCs w:val="24"/>
                <w:lang w:eastAsia="de-DE"/>
              </w:rPr>
              <w:t>Restfläche ist zum Verfahren einer Öffentlichkeitsbeteiligung nachzureichen.</w:t>
            </w:r>
          </w:p>
          <w:p>
            <w:pPr>
              <w:pStyle w:val="Normal"/>
              <w:suppressAutoHyphens w:val="false"/>
              <w:spacing w:lineRule="auto" w:line="276" w:before="0" w:after="240"/>
              <w:rPr>
                <w:rFonts w:ascii="Calibri" w:hAnsi="Calibri" w:cs="Calibri"/>
                <w:color w:val="000000"/>
                <w:sz w:val="24"/>
                <w:lang w:eastAsia="de-DE"/>
              </w:rPr>
            </w:pPr>
            <w:r>
              <w:rPr>
                <w:rFonts w:cs="Calibri" w:ascii="Calibri" w:hAnsi="Calibri"/>
                <w:color w:val="000000"/>
                <w:sz w:val="24"/>
                <w:szCs w:val="24"/>
                <w:lang w:eastAsia="de-DE"/>
              </w:rPr>
              <w:t>Dem Vorschlag des Fledermausgutachters im Norden des Geltungsbereiches einen Transferkorridor in Form einer Gehölzpflanzung zu schaffen, wurde nur teilweise gefolgt. Die Dimensionierung ist deutlich kleiner als vorgeschlagen und kann in diesem Ausmaß nicht mehr den geforderten Ausgleich zum Lebensraumverlust erfüllen. Somit muss davon ausgegangen werden, dass es durch die Umsetzung der aktuellen Planung zu artenschutzrechtlichen Verbotsbeständen kommen wird. Aus artenschutzrechtlicher Sicht ist daher eine Anpassung der Planung notwendig. Dies wurde ebenfalls von Naturschutzbeirat, NABU und BUND gefordert.</w:t>
            </w:r>
          </w:p>
          <w:p>
            <w:pPr>
              <w:pStyle w:val="Normal"/>
              <w:suppressAutoHyphens w:val="false"/>
              <w:spacing w:lineRule="auto" w:line="276" w:before="0" w:after="240"/>
              <w:rPr>
                <w:rFonts w:ascii="Calibri" w:hAnsi="Calibri" w:cs="Calibri"/>
                <w:color w:val="000000"/>
                <w:sz w:val="24"/>
                <w:szCs w:val="24"/>
                <w:lang w:eastAsia="de-DE"/>
              </w:rPr>
            </w:pPr>
            <w:r>
              <w:rPr>
                <w:rFonts w:cs="Calibri" w:ascii="Calibri" w:hAnsi="Calibri"/>
                <w:color w:val="000000"/>
                <w:sz w:val="24"/>
                <w:szCs w:val="24"/>
                <w:lang w:eastAsia="de-DE"/>
              </w:rPr>
              <w:t>Des Weiteren wurde im nordwestlichen Teil des Plangebietes eine nach § 15 LNatSchG bzw. § 30 BNatSchG gesetzlich geschützte Glatthaferwiese mit einer Größe von ca. 1000 m² kartiert</w:t>
            </w:r>
            <w:r>
              <w:rPr>
                <w:rFonts w:cs="Calibri" w:ascii="Calibri" w:hAnsi="Calibri"/>
                <w:color w:val="000000"/>
                <w:sz w:val="24"/>
                <w:lang w:eastAsia="de-DE"/>
              </w:rPr>
              <w:t>.</w:t>
            </w:r>
          </w:p>
          <w:p>
            <w:pPr>
              <w:pStyle w:val="Normal"/>
              <w:suppressAutoHyphens w:val="false"/>
              <w:spacing w:lineRule="auto" w:line="276" w:before="0" w:after="240"/>
              <w:rPr>
                <w:rFonts w:ascii="Calibri" w:hAnsi="Calibri" w:cs="Calibri"/>
                <w:color w:val="000000"/>
                <w:sz w:val="24"/>
                <w:szCs w:val="24"/>
                <w:lang w:eastAsia="de-DE"/>
              </w:rPr>
            </w:pPr>
            <w:r>
              <w:rPr>
                <w:rFonts w:cs="Calibri" w:ascii="Calibri" w:hAnsi="Calibri"/>
                <w:color w:val="000000"/>
                <w:sz w:val="24"/>
                <w:szCs w:val="24"/>
                <w:lang w:eastAsia="de-DE"/>
              </w:rPr>
              <w:t>Für den Verlust dieser Fläche wurde bereits ein Antrag auf Ausnahmegenehmigung gemäß § 30 Abs. 3 und 4 BNatSchG gestellt. Eine geeignete Ausgleichsfläche mit einer Größe von ca. 3100 m² wurde im Norden des Plangebietes gefunden. Grundsätzlich folgt die Vorgehensweise den</w:t>
            </w:r>
            <w:r>
              <w:rPr>
                <w:rFonts w:cs="Calibri" w:ascii="Calibri" w:hAnsi="Calibri"/>
                <w:color w:val="000000"/>
                <w:sz w:val="24"/>
                <w:lang w:eastAsia="de-DE"/>
              </w:rPr>
              <w:t xml:space="preserve"> </w:t>
            </w:r>
            <w:r>
              <w:rPr>
                <w:rFonts w:cs="Calibri" w:ascii="Calibri" w:hAnsi="Calibri"/>
                <w:color w:val="000000"/>
                <w:sz w:val="24"/>
                <w:szCs w:val="24"/>
                <w:lang w:eastAsia="de-DE"/>
              </w:rPr>
              <w:t>rechtlichen Bestimmungen und ist aus naturschutzfachlicher Sicht nachvollziehbar.</w:t>
            </w:r>
          </w:p>
          <w:p>
            <w:pPr>
              <w:pStyle w:val="Normal"/>
              <w:suppressAutoHyphens w:val="false"/>
              <w:spacing w:lineRule="auto" w:line="276" w:before="0" w:after="240"/>
              <w:rPr>
                <w:rFonts w:ascii="Calibri" w:hAnsi="Calibri" w:cs="Calibri"/>
                <w:color w:val="000000"/>
                <w:sz w:val="24"/>
                <w:szCs w:val="24"/>
                <w:lang w:eastAsia="de-DE"/>
              </w:rPr>
            </w:pPr>
            <w:r>
              <w:rPr>
                <w:rFonts w:cs="Calibri" w:ascii="Calibri" w:hAnsi="Calibri"/>
                <w:color w:val="000000"/>
                <w:sz w:val="24"/>
                <w:szCs w:val="24"/>
                <w:lang w:eastAsia="de-DE"/>
              </w:rPr>
              <w:t>Jedoch bitte ich zu überdenken, ob auf die Ausweisung des gesetzlich geschützten Grünlandes als Baufläche verzichtet werden kann. Es handelt sich um eine recht kleine Fläche, die ggf. zusätzlich aufgewertet (z.B. von Status C zu A) und somit ebenfalls als Kompensationsfläche für das geplante Baugebiet herangezogen werden könnte. Da die Ausweisung eines Bebauungsplanes im westlichen Bereich ebenfalls aufgrund der bauleitplanerischen Problematik angezweifelt</w:t>
            </w:r>
            <w:r>
              <w:rPr>
                <w:rFonts w:cs="Calibri" w:ascii="Calibri" w:hAnsi="Calibri"/>
                <w:color w:val="000000"/>
                <w:sz w:val="24"/>
                <w:lang w:eastAsia="de-DE"/>
              </w:rPr>
              <w:t xml:space="preserve"> </w:t>
            </w:r>
            <w:r>
              <w:rPr>
                <w:rFonts w:cs="Calibri" w:ascii="Calibri" w:hAnsi="Calibri"/>
                <w:color w:val="000000"/>
                <w:sz w:val="24"/>
                <w:szCs w:val="24"/>
                <w:lang w:eastAsia="de-DE"/>
              </w:rPr>
              <w:t xml:space="preserve">wird, bitte ich um Abwägung und Alternativenprüfung. </w:t>
            </w:r>
          </w:p>
          <w:p>
            <w:pPr>
              <w:pStyle w:val="Normal"/>
              <w:suppressAutoHyphens w:val="false"/>
              <w:spacing w:lineRule="auto" w:line="276" w:before="0" w:after="240"/>
              <w:rPr>
                <w:rFonts w:ascii="Calibri" w:hAnsi="Calibri" w:cs="Calibri"/>
                <w:color w:val="000000"/>
                <w:sz w:val="24"/>
                <w:szCs w:val="24"/>
                <w:lang w:eastAsia="de-DE"/>
              </w:rPr>
            </w:pPr>
            <w:r>
              <w:rPr>
                <w:rFonts w:cs="Calibri" w:ascii="Calibri" w:hAnsi="Calibri"/>
                <w:color w:val="000000"/>
                <w:sz w:val="24"/>
                <w:szCs w:val="24"/>
                <w:lang w:eastAsia="de-DE"/>
              </w:rPr>
              <w:t>Aus diesem Grund wird die Erteilung der Ausnahmegenehmigung gemäß § 30 Abs. 3 und 4 BNatSchG bis zum Verfahren der Öffentlichkeitsbeteiligung (§ 4 Abs. 2 BauGB) zurückgestellt.</w:t>
            </w:r>
          </w:p>
          <w:p>
            <w:pPr>
              <w:pStyle w:val="Normal"/>
              <w:suppressAutoHyphens w:val="false"/>
              <w:spacing w:lineRule="auto" w:line="276" w:before="0" w:after="240"/>
              <w:rPr>
                <w:rFonts w:ascii="Calibri" w:hAnsi="Calibri" w:cs="Calibri"/>
                <w:color w:val="000000"/>
                <w:sz w:val="24"/>
                <w:szCs w:val="24"/>
                <w:lang w:eastAsia="de-DE"/>
              </w:rPr>
            </w:pPr>
            <w:r>
              <w:rPr>
                <w:rFonts w:cs="Calibri" w:ascii="Calibri" w:hAnsi="Calibri"/>
                <w:color w:val="000000"/>
                <w:sz w:val="24"/>
                <w:szCs w:val="24"/>
                <w:lang w:eastAsia="de-DE"/>
              </w:rPr>
              <w:t>Da eine vollständige Kompensation der Eingriffe in Natur und Landschaft auf der Eingriffsfläche</w:t>
            </w:r>
            <w:r>
              <w:rPr>
                <w:rFonts w:cs="Calibri" w:ascii="Calibri" w:hAnsi="Calibri"/>
                <w:color w:val="000000"/>
                <w:sz w:val="24"/>
                <w:lang w:eastAsia="de-DE"/>
              </w:rPr>
              <w:t xml:space="preserve"> </w:t>
            </w:r>
            <w:r>
              <w:rPr>
                <w:rFonts w:cs="Calibri" w:ascii="Calibri" w:hAnsi="Calibri"/>
                <w:color w:val="000000"/>
                <w:sz w:val="24"/>
                <w:szCs w:val="24"/>
                <w:lang w:eastAsia="de-DE"/>
              </w:rPr>
              <w:t>nicht möglich ist, wurde eine externe Kompensationsfläche festgelegt. Bauplanungsrechtlich</w:t>
            </w:r>
            <w:r>
              <w:rPr>
                <w:rFonts w:cs="Calibri" w:ascii="Calibri" w:hAnsi="Calibri"/>
                <w:color w:val="000000"/>
                <w:sz w:val="24"/>
                <w:lang w:eastAsia="de-DE"/>
              </w:rPr>
              <w:t xml:space="preserve"> </w:t>
            </w:r>
            <w:r>
              <w:rPr>
                <w:rFonts w:cs="Calibri" w:ascii="Calibri" w:hAnsi="Calibri"/>
                <w:color w:val="000000"/>
                <w:sz w:val="24"/>
                <w:szCs w:val="24"/>
                <w:lang w:eastAsia="de-DE"/>
              </w:rPr>
              <w:t>existieren primär 2 Lösungsmöglichkeiten:</w:t>
            </w:r>
          </w:p>
          <w:p>
            <w:pPr>
              <w:pStyle w:val="Normal"/>
              <w:suppressAutoHyphens w:val="false"/>
              <w:spacing w:lineRule="auto" w:line="276" w:before="0" w:after="240"/>
              <w:rPr>
                <w:rFonts w:ascii="Calibri" w:hAnsi="Calibri" w:cs="Calibri"/>
                <w:color w:val="000000"/>
                <w:sz w:val="24"/>
                <w:lang w:eastAsia="de-DE"/>
              </w:rPr>
            </w:pPr>
            <w:r>
              <w:rPr>
                <w:rFonts w:cs="Calibri" w:ascii="Calibri" w:hAnsi="Calibri"/>
                <w:color w:val="000000"/>
                <w:sz w:val="24"/>
                <w:szCs w:val="24"/>
                <w:lang w:eastAsia="de-DE"/>
              </w:rPr>
              <w:t>Bebauungsplan mit geteiltem Geltungsbereich</w:t>
            </w:r>
            <w:r>
              <w:rPr>
                <w:rFonts w:cs="Calibri" w:ascii="Calibri" w:hAnsi="Calibri"/>
                <w:color w:val="000000"/>
                <w:sz w:val="24"/>
                <w:lang w:eastAsia="de-DE"/>
              </w:rPr>
              <w:t xml:space="preserve"> </w:t>
            </w:r>
            <w:r>
              <w:rPr>
                <w:rFonts w:cs="Calibri" w:ascii="Calibri" w:hAnsi="Calibri"/>
                <w:color w:val="000000"/>
                <w:sz w:val="24"/>
                <w:szCs w:val="24"/>
                <w:lang w:eastAsia="de-DE"/>
              </w:rPr>
              <w:t>Gesonderter Kompensationsbebauungsplan zusätzlich zum Eingriffsbebauungsplan.</w:t>
            </w:r>
          </w:p>
          <w:p>
            <w:pPr>
              <w:pStyle w:val="Normal"/>
              <w:suppressAutoHyphens w:val="false"/>
              <w:spacing w:lineRule="auto" w:line="276" w:before="0" w:after="240"/>
              <w:rPr>
                <w:rFonts w:ascii="Calibri" w:hAnsi="Calibri" w:cs="Calibri"/>
                <w:color w:val="000000"/>
                <w:sz w:val="24"/>
                <w:szCs w:val="24"/>
                <w:lang w:eastAsia="de-DE"/>
              </w:rPr>
            </w:pPr>
            <w:r>
              <w:rPr>
                <w:rFonts w:cs="Calibri" w:ascii="Calibri" w:hAnsi="Calibri"/>
                <w:color w:val="000000"/>
                <w:sz w:val="24"/>
                <w:szCs w:val="24"/>
                <w:lang w:eastAsia="de-DE"/>
              </w:rPr>
              <w:t>Sollte keine dieser beiden Varianten möglich sein, kann die Sicherung der externen Kompensationsfläche auch per Grundbucheintrag und städtebaulichem Vertrag erfolgen. Diese sind der Unteren Naturschutzbehörde dann ebenfalls als Nachweis vorzulegen.</w:t>
            </w:r>
          </w:p>
          <w:p>
            <w:pPr>
              <w:pStyle w:val="Normal"/>
              <w:suppressAutoHyphens w:val="false"/>
              <w:spacing w:lineRule="auto" w:line="276" w:before="0" w:after="240"/>
              <w:rPr>
                <w:rFonts w:ascii="Calibri" w:hAnsi="Calibri" w:cs="Calibri"/>
                <w:color w:val="000000"/>
                <w:sz w:val="24"/>
                <w:lang w:eastAsia="de-DE"/>
              </w:rPr>
            </w:pPr>
            <w:r>
              <w:rPr>
                <w:rFonts w:cs="Calibri" w:ascii="Calibri" w:hAnsi="Calibri"/>
                <w:color w:val="000000"/>
                <w:sz w:val="24"/>
                <w:szCs w:val="24"/>
                <w:lang w:eastAsia="de-DE"/>
              </w:rPr>
              <w:t>Da die Landeskompensationsverzeichnisverordnung (LKompVzVO) auch für Bebauungspläne</w:t>
            </w:r>
            <w:r>
              <w:rPr>
                <w:rFonts w:cs="Calibri" w:ascii="Calibri" w:hAnsi="Calibri"/>
                <w:color w:val="000000"/>
                <w:sz w:val="24"/>
                <w:lang w:eastAsia="de-DE"/>
              </w:rPr>
              <w:t xml:space="preserve"> </w:t>
            </w:r>
            <w:r>
              <w:rPr>
                <w:rFonts w:cs="Calibri" w:ascii="Calibri" w:hAnsi="Calibri"/>
                <w:color w:val="000000"/>
                <w:sz w:val="24"/>
                <w:szCs w:val="24"/>
                <w:lang w:eastAsia="de-DE"/>
              </w:rPr>
              <w:t>gilt, ist darauf zu achten, dass der Bebauungsplan (mit Eingriffsort und Kompensationsmaßnahmen) spätestens zur Zulassung des Planes in das landesweite KomOnServicePortal (KSP)</w:t>
            </w:r>
            <w:r>
              <w:rPr>
                <w:rFonts w:cs="Calibri" w:ascii="Calibri" w:hAnsi="Calibri"/>
                <w:color w:val="000000"/>
                <w:sz w:val="24"/>
                <w:lang w:eastAsia="de-DE"/>
              </w:rPr>
              <w:t xml:space="preserve"> </w:t>
            </w:r>
            <w:r>
              <w:rPr>
                <w:rFonts w:cs="Calibri" w:ascii="Calibri" w:hAnsi="Calibri"/>
                <w:color w:val="000000"/>
                <w:sz w:val="24"/>
                <w:szCs w:val="24"/>
                <w:lang w:eastAsia="de-DE"/>
              </w:rPr>
              <w:t>einzutragen ist. Die Genehmigungsbehörde hat die hierfür erforderlichen Angaben unter Beachtung der elektronischen Vorgaben nach § 6 LKompVzVO spätestens zur Erteilung der Zulassung an die Eintragungsstelle (UNB) zu übermitteln.</w:t>
            </w:r>
          </w:p>
          <w:p>
            <w:pPr>
              <w:pStyle w:val="Normal"/>
              <w:suppressAutoHyphens w:val="false"/>
              <w:spacing w:lineRule="auto" w:line="276" w:before="0" w:after="240"/>
              <w:rPr>
                <w:rFonts w:ascii="Calibri" w:hAnsi="Calibri" w:cs="Calibri"/>
                <w:b/>
                <w:color w:val="000000"/>
                <w:sz w:val="24"/>
                <w:szCs w:val="24"/>
                <w:u w:val="single"/>
                <w:lang w:eastAsia="de-DE"/>
              </w:rPr>
            </w:pPr>
            <w:r>
              <w:rPr>
                <w:rFonts w:cs="Calibri" w:ascii="Calibri" w:hAnsi="Calibri"/>
                <w:color w:val="000000"/>
                <w:sz w:val="24"/>
                <w:szCs w:val="24"/>
                <w:lang w:eastAsia="de-DE"/>
              </w:rPr>
              <w:t>Unter der Kennung „EIV-112022-MKGNRQ“ wurde im KSP bereits ein Roh-EIV angelegt, welches</w:t>
            </w:r>
            <w:r>
              <w:rPr>
                <w:rFonts w:cs="Calibri" w:ascii="Calibri" w:hAnsi="Calibri"/>
                <w:color w:val="000000"/>
                <w:sz w:val="24"/>
                <w:lang w:eastAsia="de-DE"/>
              </w:rPr>
              <w:br/>
            </w:r>
            <w:r>
              <w:rPr>
                <w:rFonts w:cs="Calibri" w:ascii="Calibri" w:hAnsi="Calibri"/>
                <w:color w:val="000000"/>
                <w:sz w:val="24"/>
                <w:szCs w:val="24"/>
                <w:lang w:eastAsia="de-DE"/>
              </w:rPr>
              <w:t>weiterbearbeitet werden kann.</w:t>
            </w:r>
          </w:p>
          <w:p>
            <w:pPr>
              <w:pStyle w:val="Normal"/>
              <w:suppressAutoHyphens w:val="false"/>
              <w:spacing w:lineRule="auto" w:line="276" w:before="0" w:after="240"/>
              <w:rPr>
                <w:rFonts w:ascii="Calibri" w:hAnsi="Calibri" w:cs="Calibri"/>
                <w:b/>
                <w:color w:val="000000"/>
                <w:sz w:val="24"/>
                <w:szCs w:val="24"/>
                <w:u w:val="single"/>
                <w:lang w:eastAsia="de-DE"/>
              </w:rPr>
            </w:pPr>
            <w:r>
              <w:rPr>
                <w:rFonts w:cs="Calibri" w:ascii="Calibri" w:hAnsi="Calibri"/>
                <w:b/>
                <w:color w:val="000000"/>
                <w:sz w:val="24"/>
                <w:szCs w:val="24"/>
                <w:u w:val="single"/>
                <w:lang w:eastAsia="de-DE"/>
              </w:rPr>
              <w:t>Stellungnahme vorbeugender Brandschutz:</w:t>
            </w:r>
          </w:p>
          <w:p>
            <w:pPr>
              <w:pStyle w:val="Normal"/>
              <w:tabs>
                <w:tab w:val="clear" w:pos="709"/>
                <w:tab w:val="right" w:pos="9497" w:leader="none"/>
              </w:tabs>
              <w:suppressAutoHyphens w:val="false"/>
              <w:ind w:right="113"/>
              <w:jc w:val="both"/>
              <w:rPr>
                <w:rFonts w:ascii="Calibri" w:hAnsi="Calibri"/>
                <w:sz w:val="22"/>
                <w:lang w:eastAsia="de-DE"/>
              </w:rPr>
            </w:pPr>
            <w:bookmarkStart w:id="22" w:name="Grussformel"/>
            <w:bookmarkEnd w:id="22"/>
            <w:r>
              <w:rPr>
                <w:rFonts w:ascii="Calibri" w:hAnsi="Calibri"/>
                <w:sz w:val="22"/>
                <w:lang w:eastAsia="de-DE"/>
              </w:rPr>
              <w:t xml:space="preserve">Aus brandschutztechnischer Sicht bestehen gegen die o. g. Bauleitplanung </w:t>
            </w:r>
            <w:r>
              <w:rPr>
                <w:rFonts w:ascii="Calibri" w:hAnsi="Calibri"/>
                <w:sz w:val="22"/>
                <w:u w:val="single"/>
                <w:lang w:eastAsia="de-DE"/>
              </w:rPr>
              <w:t>keine Bedenken</w:t>
            </w:r>
            <w:r>
              <w:rPr>
                <w:rFonts w:ascii="Calibri" w:hAnsi="Calibri"/>
                <w:sz w:val="22"/>
                <w:lang w:eastAsia="de-DE"/>
              </w:rPr>
              <w:t xml:space="preserve">, </w:t>
            </w:r>
            <w:r>
              <w:rPr>
                <w:rFonts w:ascii="Calibri" w:hAnsi="Calibri"/>
                <w:sz w:val="22"/>
                <w:u w:val="single"/>
                <w:lang w:eastAsia="de-DE"/>
              </w:rPr>
              <w:t>sofern</w:t>
            </w:r>
            <w:r>
              <w:rPr>
                <w:rFonts w:ascii="Calibri" w:hAnsi="Calibri"/>
                <w:sz w:val="22"/>
                <w:lang w:eastAsia="de-DE"/>
              </w:rPr>
              <w:t xml:space="preserve"> nachfolgende Punkte bei der konkreten Umsetzung des Bebauungsplans beachtet werden:</w:t>
            </w:r>
          </w:p>
          <w:p>
            <w:pPr>
              <w:pStyle w:val="Normal"/>
              <w:tabs>
                <w:tab w:val="clear" w:pos="709"/>
                <w:tab w:val="right" w:pos="9497" w:leader="none"/>
              </w:tabs>
              <w:suppressAutoHyphens w:val="false"/>
              <w:spacing w:before="0" w:after="120"/>
              <w:ind w:right="113"/>
              <w:jc w:val="both"/>
              <w:rPr>
                <w:rFonts w:ascii="Calibri" w:hAnsi="Calibri"/>
                <w:sz w:val="22"/>
                <w:lang w:eastAsia="de-DE"/>
              </w:rPr>
            </w:pPr>
            <w:r>
              <w:rPr>
                <w:rFonts w:ascii="Calibri" w:hAnsi="Calibri"/>
                <w:sz w:val="22"/>
                <w:lang w:eastAsia="de-DE"/>
              </w:rPr>
            </w:r>
          </w:p>
          <w:p>
            <w:pPr>
              <w:pStyle w:val="Normal"/>
              <w:numPr>
                <w:ilvl w:val="0"/>
                <w:numId w:val="38"/>
              </w:numPr>
              <w:tabs>
                <w:tab w:val="clear" w:pos="709"/>
                <w:tab w:val="right" w:pos="9497" w:leader="none"/>
              </w:tabs>
              <w:suppressAutoHyphens w:val="false"/>
              <w:spacing w:before="0" w:after="0"/>
              <w:ind w:hanging="360" w:left="720" w:right="113"/>
              <w:contextualSpacing/>
              <w:jc w:val="both"/>
              <w:rPr>
                <w:rFonts w:ascii="Calibri" w:hAnsi="Calibri"/>
                <w:sz w:val="22"/>
                <w:lang w:eastAsia="de-DE"/>
              </w:rPr>
            </w:pPr>
            <w:r>
              <w:rPr>
                <w:rFonts w:ascii="Calibri" w:hAnsi="Calibri"/>
                <w:sz w:val="22"/>
                <w:lang w:eastAsia="de-DE"/>
              </w:rPr>
              <w:t>Im Brandfall muss eine wirksame Brandbekämpfung möglich sein. Eine ausreichende Löschwassermenge muss deshalb zur Verfügung stehen. Die bereitzustellende Löschwassermenge ist nach dem Arbeitsblatt W 405 des DVGW-Regelwerkes, Ausgabe Feb. 2008, zu bestimmen. (DVGW = Deutscher Verein des Gas- und Wasserfaches e.V.).</w:t>
              <w:br/>
              <w:t xml:space="preserve">In der Regel sind für Dorfgebiete </w:t>
            </w:r>
            <w:r>
              <w:rPr>
                <w:rFonts w:ascii="Calibri" w:hAnsi="Calibri"/>
                <w:sz w:val="22"/>
                <w:u w:val="single"/>
                <w:lang w:eastAsia="de-DE"/>
              </w:rPr>
              <w:t>800 l/min über einen Zeitraum von 2 Stunden</w:t>
            </w:r>
            <w:r>
              <w:rPr>
                <w:rFonts w:ascii="Calibri" w:hAnsi="Calibri"/>
                <w:sz w:val="22"/>
                <w:lang w:eastAsia="de-DE"/>
              </w:rPr>
              <w:t xml:space="preserve"> zur Verfügung zu stellen.</w:t>
            </w:r>
          </w:p>
          <w:p>
            <w:pPr>
              <w:pStyle w:val="Normal"/>
              <w:tabs>
                <w:tab w:val="clear" w:pos="709"/>
                <w:tab w:val="right" w:pos="9497" w:leader="none"/>
              </w:tabs>
              <w:suppressAutoHyphens w:val="false"/>
              <w:ind w:right="113"/>
              <w:jc w:val="both"/>
              <w:rPr>
                <w:rFonts w:ascii="Calibri" w:hAnsi="Calibri"/>
                <w:sz w:val="22"/>
                <w:lang w:eastAsia="de-DE"/>
              </w:rPr>
            </w:pPr>
            <w:r>
              <w:rPr>
                <w:rFonts w:ascii="Calibri" w:hAnsi="Calibri"/>
                <w:sz w:val="22"/>
                <w:lang w:eastAsia="de-DE"/>
              </w:rPr>
            </w:r>
          </w:p>
          <w:p>
            <w:pPr>
              <w:pStyle w:val="Normal"/>
              <w:numPr>
                <w:ilvl w:val="0"/>
                <w:numId w:val="16"/>
              </w:numPr>
              <w:tabs>
                <w:tab w:val="clear" w:pos="709"/>
                <w:tab w:val="right" w:pos="9497" w:leader="none"/>
              </w:tabs>
              <w:suppressAutoHyphens w:val="false"/>
              <w:spacing w:before="0" w:after="0"/>
              <w:ind w:hanging="360" w:left="720" w:right="113"/>
              <w:contextualSpacing/>
              <w:jc w:val="both"/>
              <w:rPr>
                <w:rFonts w:ascii="Calibri" w:hAnsi="Calibri"/>
                <w:sz w:val="22"/>
                <w:lang w:eastAsia="de-DE"/>
              </w:rPr>
            </w:pPr>
            <w:r>
              <w:rPr>
                <w:rFonts w:ascii="Calibri" w:hAnsi="Calibri"/>
                <w:sz w:val="22"/>
                <w:lang w:eastAsia="de-DE"/>
              </w:rPr>
              <w:t xml:space="preserve">In Abständen von höchstens 150 </w:t>
            </w:r>
            <w:r>
              <w:fldChar w:fldCharType="begin"/>
            </w:r>
            <w:r>
              <w:rPr>
                <w:sz w:val="22"/>
                <w:rFonts w:ascii="Calibri" w:hAnsi="Calibri"/>
                <w:lang w:eastAsia="de-DE"/>
              </w:rPr>
            </w:r>
            <w:r>
              <w:rPr>
                <w:rFonts w:ascii="Calibri" w:hAnsi="Calibri"/>
                <w:sz w:val="22"/>
                <w:lang w:eastAsia="de-DE"/>
              </w:rPr>
            </w:r>
            <w:r>
              <w:rPr>
                <w:sz w:val="22"/>
                <w:rFonts w:ascii="Calibri" w:hAnsi="Calibri"/>
                <w:lang w:eastAsia="de-DE"/>
              </w:rPr>
              <w:fldChar w:fldCharType="separate"/>
            </w:r>
            <w:r>
              <w:rPr>
                <w:rFonts w:ascii="Calibri" w:hAnsi="Calibri"/>
                <w:sz w:val="22"/>
                <w:lang w:eastAsia="de-DE"/>
              </w:rPr>
            </w:r>
            <w:r>
              <w:rPr>
                <w:rFonts w:ascii="Calibri" w:hAnsi="Calibri"/>
                <w:sz w:val="22"/>
                <w:lang w:eastAsia="de-DE"/>
              </w:rPr>
            </w:r>
            <w:r>
              <w:rPr>
                <w:sz w:val="22"/>
                <w:rFonts w:ascii="Calibri" w:hAnsi="Calibri"/>
                <w:lang w:eastAsia="de-DE"/>
              </w:rPr>
              <w:fldChar w:fldCharType="end"/>
            </w:r>
            <w:r>
              <w:rPr>
                <w:rFonts w:ascii="Calibri" w:hAnsi="Calibri"/>
                <w:sz w:val="22"/>
                <w:lang w:eastAsia="de-DE"/>
              </w:rPr>
              <w:t xml:space="preserve">m sind Hydrant für Feuerlöschzwecke (gem. DIN EN 14339 bzw. DIN EN 14384) anzuordnen. </w:t>
            </w:r>
          </w:p>
          <w:p>
            <w:pPr>
              <w:pStyle w:val="Normal"/>
              <w:tabs>
                <w:tab w:val="clear" w:pos="709"/>
                <w:tab w:val="right" w:pos="9497" w:leader="none"/>
              </w:tabs>
              <w:suppressAutoHyphens w:val="false"/>
              <w:ind w:right="113"/>
              <w:jc w:val="both"/>
              <w:rPr>
                <w:rFonts w:ascii="Calibri" w:hAnsi="Calibri"/>
                <w:sz w:val="22"/>
                <w:lang w:eastAsia="de-DE"/>
              </w:rPr>
            </w:pPr>
            <w:r>
              <w:rPr>
                <w:rFonts w:ascii="Calibri" w:hAnsi="Calibri"/>
                <w:sz w:val="22"/>
                <w:lang w:eastAsia="de-DE"/>
              </w:rPr>
            </w:r>
          </w:p>
          <w:p>
            <w:pPr>
              <w:pStyle w:val="Normal"/>
              <w:numPr>
                <w:ilvl w:val="0"/>
                <w:numId w:val="16"/>
              </w:numPr>
              <w:tabs>
                <w:tab w:val="clear" w:pos="709"/>
                <w:tab w:val="right" w:pos="9497" w:leader="none"/>
              </w:tabs>
              <w:suppressAutoHyphens w:val="false"/>
              <w:spacing w:before="0" w:after="0"/>
              <w:ind w:hanging="360" w:left="720" w:right="113"/>
              <w:contextualSpacing/>
              <w:jc w:val="both"/>
              <w:rPr>
                <w:rFonts w:ascii="Calibri" w:hAnsi="Calibri"/>
                <w:sz w:val="22"/>
                <w:lang w:eastAsia="de-DE"/>
              </w:rPr>
            </w:pPr>
            <w:r>
              <w:rPr>
                <w:rFonts w:ascii="Calibri" w:hAnsi="Calibri"/>
                <w:sz w:val="22"/>
                <w:lang w:eastAsia="de-DE"/>
              </w:rPr>
              <w:t>Stichstraßen die länger als 50 m sind, müssen mit einer Wendemöglichkeit für Feuerwehrfahrzeuge ausgestattet sein.</w:t>
            </w:r>
          </w:p>
          <w:p>
            <w:pPr>
              <w:pStyle w:val="Normal"/>
              <w:tabs>
                <w:tab w:val="clear" w:pos="709"/>
                <w:tab w:val="right" w:pos="9497" w:leader="none"/>
              </w:tabs>
              <w:suppressAutoHyphens w:val="false"/>
              <w:ind w:right="113"/>
              <w:jc w:val="both"/>
              <w:rPr>
                <w:rFonts w:ascii="Calibri" w:hAnsi="Calibri"/>
                <w:sz w:val="22"/>
                <w:lang w:eastAsia="de-DE"/>
              </w:rPr>
            </w:pPr>
            <w:r>
              <w:rPr>
                <w:rFonts w:ascii="Calibri" w:hAnsi="Calibri"/>
                <w:sz w:val="22"/>
                <w:lang w:eastAsia="de-DE"/>
              </w:rPr>
            </w:r>
          </w:p>
          <w:p>
            <w:pPr>
              <w:pStyle w:val="Normal"/>
              <w:numPr>
                <w:ilvl w:val="0"/>
                <w:numId w:val="16"/>
              </w:numPr>
              <w:suppressAutoHyphens w:val="false"/>
              <w:spacing w:lineRule="auto" w:line="276" w:before="0" w:after="0"/>
              <w:ind w:hanging="360" w:left="720" w:right="113"/>
              <w:contextualSpacing/>
              <w:jc w:val="both"/>
              <w:rPr>
                <w:rFonts w:ascii="Calibri" w:hAnsi="Calibri"/>
                <w:sz w:val="22"/>
                <w:lang w:eastAsia="de-DE"/>
              </w:rPr>
            </w:pPr>
            <w:r>
              <w:rPr>
                <w:rFonts w:ascii="Calibri" w:hAnsi="Calibri"/>
                <w:sz w:val="22"/>
                <w:lang w:eastAsia="de-DE"/>
              </w:rPr>
              <w:t>Für die Abmessungen von Wendemöglichkeiten sind mindestens die Maße der „Richtlinie für die Anlage von Stadtstraßen - RASt 06“ anzuwenden. Als Feuerwehrfahrzeug ist ein (H)LF 20 (DIN 14 530, Teil 11) mit einer Länge von 8,60 m zugrunde zu legen.</w:t>
            </w:r>
          </w:p>
          <w:p>
            <w:pPr>
              <w:pStyle w:val="Normal"/>
              <w:suppressAutoHyphens w:val="false"/>
              <w:ind w:right="113"/>
              <w:jc w:val="both"/>
              <w:rPr>
                <w:rFonts w:ascii="Calibri" w:hAnsi="Calibri" w:eastAsia="Arial Narrow"/>
                <w:bCs/>
                <w:sz w:val="22"/>
                <w:shd w:fill="FFFFFF" w:val="clear"/>
                <w:lang w:eastAsia="de-DE"/>
              </w:rPr>
            </w:pPr>
            <w:r>
              <w:rPr>
                <w:rFonts w:eastAsia="Arial Narrow" w:ascii="Calibri" w:hAnsi="Calibri"/>
                <w:bCs/>
                <w:sz w:val="22"/>
                <w:shd w:fill="FFFFFF" w:val="clear"/>
                <w:lang w:eastAsia="de-DE"/>
              </w:rPr>
            </w:r>
          </w:p>
        </w:tc>
      </w:tr>
    </w:tbl>
    <w:p>
      <w:pPr>
        <w:pStyle w:val="Normal"/>
        <w:tabs>
          <w:tab w:val="clear" w:pos="709"/>
          <w:tab w:val="left" w:pos="2694" w:leader="none"/>
        </w:tabs>
        <w:suppressAutoHyphens w:val="false"/>
        <w:ind w:right="113"/>
        <w:jc w:val="center"/>
        <w:rPr>
          <w:rFonts w:ascii="Calibri" w:hAnsi="Calibri"/>
          <w:b/>
          <w:sz w:val="22"/>
          <w:szCs w:val="24"/>
          <w:lang w:eastAsia="de-DE"/>
        </w:rPr>
      </w:pPr>
      <w:r>
        <w:rPr>
          <w:rFonts w:ascii="Calibri" w:hAnsi="Calibri"/>
          <w:b/>
          <w:sz w:val="22"/>
          <w:szCs w:val="24"/>
          <w:lang w:eastAsia="de-DE"/>
        </w:rPr>
      </w:r>
    </w:p>
    <w:p>
      <w:pPr>
        <w:pStyle w:val="Normal"/>
        <w:keepNext w:val="true"/>
        <w:numPr>
          <w:ilvl w:val="0"/>
          <w:numId w:val="4"/>
        </w:numPr>
        <w:tabs>
          <w:tab w:val="clear" w:pos="709"/>
          <w:tab w:val="left" w:pos="2694" w:leader="none"/>
          <w:tab w:val="left" w:pos="8505" w:leader="none"/>
        </w:tabs>
        <w:suppressAutoHyphens w:val="false"/>
        <w:spacing w:before="360" w:after="100"/>
        <w:ind w:hanging="432" w:left="858" w:right="-29"/>
        <w:jc w:val="both"/>
        <w:outlineLvl w:val="0"/>
        <w:rPr>
          <w:rFonts w:ascii="Calibri" w:hAnsi="Calibri"/>
          <w:b/>
          <w:sz w:val="22"/>
          <w:lang w:eastAsia="de-DE"/>
        </w:rPr>
      </w:pPr>
      <w:bookmarkStart w:id="23" w:name="_Toc122069590"/>
      <w:r>
        <w:rPr>
          <w:rFonts w:ascii="Calibri" w:hAnsi="Calibri"/>
          <w:b/>
          <w:sz w:val="22"/>
          <w:lang w:eastAsia="de-DE"/>
        </w:rPr>
        <w:t>Landesamt für Geologie und Bergbau Rheinland-Pfalz</w:t>
      </w:r>
      <w:bookmarkEnd w:id="23"/>
    </w:p>
    <w:tbl>
      <w:tblPr>
        <w:tblW w:w="14454"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206"/>
        <w:gridCol w:w="14247"/>
      </w:tblGrid>
      <w:tr>
        <w:trPr>
          <w:tblHeader w:val="true"/>
        </w:trPr>
        <w:tc>
          <w:tcPr>
            <w:tcW w:w="14453" w:type="dxa"/>
            <w:gridSpan w:val="2"/>
            <w:tcBorders>
              <w:top w:val="single" w:sz="4" w:space="0" w:color="000000"/>
              <w:left w:val="single" w:sz="4" w:space="0" w:color="000000"/>
              <w:bottom w:val="single" w:sz="4" w:space="0" w:color="000000"/>
              <w:right w:val="single" w:sz="4" w:space="0" w:color="000000"/>
            </w:tcBorders>
            <w:shd w:color="auto" w:fill="FFFFFF" w:val="pct12"/>
          </w:tcPr>
          <w:p>
            <w:pPr>
              <w:pStyle w:val="Normal"/>
              <w:tabs>
                <w:tab w:val="clear" w:pos="709"/>
                <w:tab w:val="left" w:pos="1875" w:leader="none"/>
              </w:tabs>
              <w:suppressAutoHyphens w:val="false"/>
              <w:ind w:right="113"/>
              <w:jc w:val="both"/>
              <w:rPr>
                <w:rFonts w:ascii="Calibri" w:hAnsi="Calibri"/>
                <w:b/>
                <w:sz w:val="22"/>
                <w:lang w:eastAsia="de-DE"/>
              </w:rPr>
            </w:pPr>
            <w:r>
              <w:rPr>
                <w:rFonts w:ascii="Calibri" w:hAnsi="Calibri"/>
                <w:b/>
                <w:sz w:val="22"/>
                <w:lang w:eastAsia="de-DE"/>
              </w:rPr>
              <w:t>Anregung</w:t>
            </w:r>
          </w:p>
        </w:tc>
      </w:tr>
      <w:tr>
        <w:trPr/>
        <w:tc>
          <w:tcPr>
            <w:tcW w:w="206" w:type="dxa"/>
            <w:tcBorders>
              <w:top w:val="single" w:sz="4" w:space="0" w:color="000000"/>
              <w:left w:val="single" w:sz="4" w:space="0" w:color="000000"/>
              <w:bottom w:val="single" w:sz="4" w:space="0" w:color="000000"/>
            </w:tcBorders>
          </w:tcPr>
          <w:p>
            <w:pPr>
              <w:pStyle w:val="Normal"/>
              <w:widowControl w:val="false"/>
              <w:tabs>
                <w:tab w:val="clear" w:pos="709"/>
                <w:tab w:val="left" w:pos="708" w:leader="none"/>
                <w:tab w:val="center" w:pos="4536" w:leader="none"/>
                <w:tab w:val="right" w:pos="9072" w:leader="none"/>
              </w:tabs>
              <w:suppressAutoHyphens w:val="false"/>
              <w:ind w:right="113"/>
              <w:jc w:val="right"/>
              <w:rPr>
                <w:rFonts w:ascii="Calibri" w:hAnsi="Calibri"/>
                <w:sz w:val="16"/>
                <w:highlight w:val="yellow"/>
                <w:lang w:eastAsia="de-DE"/>
              </w:rPr>
            </w:pPr>
            <w:r>
              <w:rPr>
                <w:rFonts w:ascii="Calibri" w:hAnsi="Calibri"/>
                <w:sz w:val="16"/>
                <w:highlight w:val="yellow"/>
                <w:lang w:eastAsia="de-DE"/>
              </w:rPr>
            </w:r>
          </w:p>
        </w:tc>
        <w:tc>
          <w:tcPr>
            <w:tcW w:w="14247" w:type="dxa"/>
            <w:tcBorders>
              <w:top w:val="single" w:sz="4" w:space="0" w:color="000000"/>
              <w:bottom w:val="single" w:sz="4" w:space="0" w:color="000000"/>
              <w:right w:val="single" w:sz="4" w:space="0" w:color="000000"/>
            </w:tcBorders>
          </w:tcPr>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r>
          </w:p>
          <w:p>
            <w:pPr>
              <w:pStyle w:val="Normal"/>
              <w:suppressAutoHyphens w:val="false"/>
              <w:ind w:right="113"/>
              <w:jc w:val="both"/>
              <w:rPr>
                <w:rFonts w:ascii="Calibri" w:hAnsi="Calibri"/>
                <w:sz w:val="22"/>
                <w:lang w:eastAsia="de-DE"/>
              </w:rPr>
            </w:pPr>
            <w:r>
              <w:rPr>
                <w:rFonts w:ascii="Calibri" w:hAnsi="Calibri"/>
                <w:sz w:val="22"/>
                <w:lang w:eastAsia="de-DE"/>
              </w:rPr>
              <w:t>aus Sicht des Landesamtes für Geologie und Bergbau Rheinland-Pfalz (LGB) werden zum oben genannten Planvorhaben folgende Anregungen, Hinweise und Bewertungen gegeben:</w:t>
            </w:r>
          </w:p>
          <w:p>
            <w:pPr>
              <w:pStyle w:val="Normal"/>
              <w:suppressAutoHyphens w:val="false"/>
              <w:ind w:right="113"/>
              <w:jc w:val="both"/>
              <w:rPr>
                <w:rFonts w:ascii="Calibri" w:hAnsi="Calibri"/>
                <w:sz w:val="22"/>
                <w:lang w:eastAsia="de-DE"/>
              </w:rPr>
            </w:pPr>
            <w:r>
              <w:rPr>
                <w:rFonts w:ascii="Calibri" w:hAnsi="Calibri"/>
                <w:sz w:val="22"/>
                <w:lang w:eastAsia="de-DE"/>
              </w:rPr>
            </w:r>
          </w:p>
          <w:p>
            <w:pPr>
              <w:pStyle w:val="Normal"/>
              <w:suppressAutoHyphens w:val="false"/>
              <w:ind w:right="113"/>
              <w:jc w:val="both"/>
              <w:rPr>
                <w:rFonts w:ascii="Calibri" w:hAnsi="Calibri"/>
                <w:b/>
                <w:sz w:val="22"/>
                <w:lang w:eastAsia="de-DE"/>
              </w:rPr>
            </w:pPr>
            <w:r>
              <w:rPr>
                <w:rFonts w:ascii="Calibri" w:hAnsi="Calibri"/>
                <w:sz w:val="22"/>
                <w:lang w:eastAsia="de-DE"/>
              </w:rPr>
              <w:t xml:space="preserve"> </w:t>
            </w:r>
            <w:r>
              <w:rPr>
                <w:rFonts w:ascii="Calibri" w:hAnsi="Calibri"/>
                <w:b/>
                <w:sz w:val="22"/>
                <w:lang w:eastAsia="de-DE"/>
              </w:rPr>
              <w:t>Bergbau / Altbergbau:</w:t>
            </w:r>
          </w:p>
          <w:p>
            <w:pPr>
              <w:pStyle w:val="Normal"/>
              <w:suppressAutoHyphens w:val="false"/>
              <w:ind w:right="113"/>
              <w:jc w:val="both"/>
              <w:rPr>
                <w:rFonts w:ascii="Calibri" w:hAnsi="Calibri"/>
                <w:sz w:val="22"/>
                <w:lang w:eastAsia="de-DE"/>
              </w:rPr>
            </w:pPr>
            <w:r>
              <w:rPr>
                <w:rFonts w:ascii="Calibri" w:hAnsi="Calibri"/>
                <w:sz w:val="22"/>
                <w:lang w:eastAsia="de-DE"/>
              </w:rPr>
            </w:r>
          </w:p>
          <w:p>
            <w:pPr>
              <w:pStyle w:val="Normal"/>
              <w:suppressAutoHyphens w:val="false"/>
              <w:ind w:right="113"/>
              <w:jc w:val="both"/>
              <w:rPr>
                <w:rFonts w:ascii="Calibri" w:hAnsi="Calibri"/>
                <w:sz w:val="22"/>
                <w:lang w:eastAsia="de-DE"/>
              </w:rPr>
            </w:pPr>
            <w:r>
              <w:rPr>
                <w:rFonts w:ascii="Calibri" w:hAnsi="Calibri"/>
                <w:sz w:val="22"/>
                <w:lang w:eastAsia="de-DE"/>
              </w:rPr>
              <w:t xml:space="preserve"> </w:t>
            </w:r>
            <w:r>
              <w:rPr>
                <w:rFonts w:ascii="Calibri" w:hAnsi="Calibri"/>
                <w:sz w:val="22"/>
                <w:lang w:eastAsia="de-DE"/>
              </w:rPr>
              <w:t>Die Prüfung der hier vorhandenen Unterlagen ergab, dass im Bereich des ausgewiesenen Bebauungsplanes "Hinter Goldschmitsgraben" kein Altbergbau dokumentiert ist und aktuell kein Bergbau unter Bergaufsicht erfolgt.</w:t>
            </w:r>
          </w:p>
          <w:p>
            <w:pPr>
              <w:pStyle w:val="Normal"/>
              <w:suppressAutoHyphens w:val="false"/>
              <w:ind w:right="113"/>
              <w:jc w:val="both"/>
              <w:rPr>
                <w:rFonts w:ascii="Calibri" w:hAnsi="Calibri"/>
                <w:sz w:val="22"/>
                <w:lang w:eastAsia="de-DE"/>
              </w:rPr>
            </w:pPr>
            <w:r>
              <w:rPr>
                <w:rFonts w:ascii="Calibri" w:hAnsi="Calibri"/>
                <w:sz w:val="22"/>
                <w:lang w:eastAsia="de-DE"/>
              </w:rPr>
            </w:r>
          </w:p>
          <w:p>
            <w:pPr>
              <w:pStyle w:val="Normal"/>
              <w:suppressAutoHyphens w:val="false"/>
              <w:ind w:right="113"/>
              <w:jc w:val="both"/>
              <w:rPr>
                <w:rFonts w:ascii="Calibri" w:hAnsi="Calibri"/>
                <w:sz w:val="22"/>
                <w:lang w:eastAsia="de-DE"/>
              </w:rPr>
            </w:pPr>
            <w:r>
              <w:rPr>
                <w:rFonts w:ascii="Calibri" w:hAnsi="Calibri"/>
                <w:sz w:val="22"/>
                <w:lang w:eastAsia="de-DE"/>
              </w:rPr>
              <w:t xml:space="preserve"> </w:t>
            </w:r>
            <w:r>
              <w:rPr>
                <w:rFonts w:ascii="Calibri" w:hAnsi="Calibri"/>
                <w:sz w:val="22"/>
                <w:lang w:eastAsia="de-DE"/>
              </w:rPr>
              <w:t>Es erfolgte keine Prüfung der Ausgleichsflächen in Bezug auf Altbergbau. Sofern die Ausgleichsmaßnahmen den Einsatz von schweren Geräten erfordern, sollte hierzu eine erneute Anfrage zur Ermittlung eines möglichen Gefährdungspotenzials erfolgen.</w:t>
            </w:r>
          </w:p>
          <w:p>
            <w:pPr>
              <w:pStyle w:val="Normal"/>
              <w:suppressAutoHyphens w:val="false"/>
              <w:ind w:right="113"/>
              <w:jc w:val="both"/>
              <w:rPr>
                <w:rFonts w:ascii="Calibri" w:hAnsi="Calibri"/>
                <w:sz w:val="22"/>
                <w:lang w:eastAsia="de-DE"/>
              </w:rPr>
            </w:pPr>
            <w:r>
              <w:rPr>
                <w:rFonts w:ascii="Calibri" w:hAnsi="Calibri"/>
                <w:sz w:val="22"/>
                <w:lang w:eastAsia="de-DE"/>
              </w:rPr>
            </w:r>
          </w:p>
          <w:p>
            <w:pPr>
              <w:pStyle w:val="Normal"/>
              <w:suppressAutoHyphens w:val="false"/>
              <w:ind w:right="113"/>
              <w:jc w:val="both"/>
              <w:rPr>
                <w:rFonts w:ascii="Calibri" w:hAnsi="Calibri"/>
                <w:b/>
                <w:sz w:val="22"/>
                <w:lang w:eastAsia="de-DE"/>
              </w:rPr>
            </w:pPr>
            <w:r>
              <w:rPr>
                <w:rFonts w:ascii="Calibri" w:hAnsi="Calibri"/>
                <w:sz w:val="22"/>
                <w:lang w:eastAsia="de-DE"/>
              </w:rPr>
              <w:t xml:space="preserve"> </w:t>
            </w:r>
            <w:r>
              <w:rPr>
                <w:rFonts w:ascii="Calibri" w:hAnsi="Calibri"/>
                <w:b/>
                <w:sz w:val="22"/>
                <w:lang w:eastAsia="de-DE"/>
              </w:rPr>
              <w:t xml:space="preserve">Boden und Baugrund </w:t>
            </w:r>
          </w:p>
          <w:p>
            <w:pPr>
              <w:pStyle w:val="Normal"/>
              <w:suppressAutoHyphens w:val="false"/>
              <w:ind w:right="113"/>
              <w:jc w:val="both"/>
              <w:rPr>
                <w:rFonts w:ascii="Calibri" w:hAnsi="Calibri"/>
                <w:sz w:val="22"/>
                <w:lang w:eastAsia="de-DE"/>
              </w:rPr>
            </w:pPr>
            <w:r>
              <w:rPr>
                <w:rFonts w:ascii="Calibri" w:hAnsi="Calibri"/>
                <w:sz w:val="22"/>
                <w:lang w:eastAsia="de-DE"/>
              </w:rPr>
            </w:r>
          </w:p>
          <w:p>
            <w:pPr>
              <w:pStyle w:val="Normal"/>
              <w:suppressAutoHyphens w:val="false"/>
              <w:ind w:right="113"/>
              <w:jc w:val="both"/>
              <w:rPr>
                <w:rFonts w:ascii="Calibri" w:hAnsi="Calibri"/>
                <w:b/>
                <w:sz w:val="22"/>
                <w:lang w:eastAsia="de-DE"/>
              </w:rPr>
            </w:pPr>
            <w:r>
              <w:rPr>
                <w:rFonts w:ascii="Calibri" w:hAnsi="Calibri"/>
                <w:b/>
                <w:sz w:val="22"/>
                <w:lang w:eastAsia="de-DE"/>
              </w:rPr>
              <w:t xml:space="preserve">– </w:t>
            </w:r>
            <w:r>
              <w:rPr>
                <w:rFonts w:ascii="Calibri" w:hAnsi="Calibri"/>
                <w:b/>
                <w:sz w:val="22"/>
                <w:lang w:eastAsia="de-DE"/>
              </w:rPr>
              <w:t>allgemein:</w:t>
            </w:r>
          </w:p>
          <w:p>
            <w:pPr>
              <w:pStyle w:val="Normal"/>
              <w:suppressAutoHyphens w:val="false"/>
              <w:ind w:right="113"/>
              <w:jc w:val="both"/>
              <w:rPr>
                <w:rFonts w:ascii="Calibri" w:hAnsi="Calibri"/>
                <w:sz w:val="22"/>
                <w:lang w:eastAsia="de-DE"/>
              </w:rPr>
            </w:pPr>
            <w:r>
              <w:rPr>
                <w:rFonts w:ascii="Calibri" w:hAnsi="Calibri"/>
                <w:sz w:val="22"/>
                <w:lang w:eastAsia="de-DE"/>
              </w:rPr>
            </w:r>
          </w:p>
          <w:p>
            <w:pPr>
              <w:pStyle w:val="Normal"/>
              <w:suppressAutoHyphens w:val="false"/>
              <w:ind w:right="113"/>
              <w:jc w:val="both"/>
              <w:rPr>
                <w:rFonts w:ascii="Calibri" w:hAnsi="Calibri"/>
                <w:sz w:val="22"/>
                <w:lang w:eastAsia="de-DE"/>
              </w:rPr>
            </w:pPr>
            <w:r>
              <w:rPr>
                <w:rFonts w:ascii="Calibri" w:hAnsi="Calibri"/>
                <w:sz w:val="22"/>
                <w:lang w:eastAsia="de-DE"/>
              </w:rPr>
              <w:t xml:space="preserve"> </w:t>
            </w:r>
            <w:r>
              <w:rPr>
                <w:rFonts w:ascii="Calibri" w:hAnsi="Calibri"/>
                <w:sz w:val="22"/>
                <w:lang w:eastAsia="de-DE"/>
              </w:rPr>
              <w:t>Der Hinweis auf die einschlägigen Bodenschutz- und Baugrund-Normen sowie die Empfehlung von objektbezogenen Baugrunduntersuchungen mit Überprüfung der Hangstabilität in den Textlichen Festsetzungen unter 3.3 werden fachlich bestätigt.</w:t>
            </w:r>
          </w:p>
          <w:p>
            <w:pPr>
              <w:pStyle w:val="Normal"/>
              <w:suppressAutoHyphens w:val="false"/>
              <w:ind w:right="113"/>
              <w:jc w:val="both"/>
              <w:rPr>
                <w:rFonts w:ascii="Calibri" w:hAnsi="Calibri"/>
                <w:sz w:val="22"/>
                <w:lang w:eastAsia="de-DE"/>
              </w:rPr>
            </w:pPr>
            <w:r>
              <w:rPr>
                <w:rFonts w:ascii="Calibri" w:hAnsi="Calibri"/>
                <w:sz w:val="22"/>
                <w:lang w:eastAsia="de-DE"/>
              </w:rPr>
            </w:r>
          </w:p>
          <w:p>
            <w:pPr>
              <w:pStyle w:val="Normal"/>
              <w:suppressAutoHyphens w:val="false"/>
              <w:ind w:right="113"/>
              <w:jc w:val="both"/>
              <w:rPr>
                <w:rFonts w:ascii="Calibri" w:hAnsi="Calibri"/>
                <w:sz w:val="22"/>
                <w:lang w:eastAsia="de-DE"/>
              </w:rPr>
            </w:pPr>
            <w:r>
              <w:rPr>
                <w:rFonts w:ascii="Calibri" w:hAnsi="Calibri"/>
                <w:sz w:val="22"/>
                <w:lang w:eastAsia="de-DE"/>
              </w:rPr>
              <w:t xml:space="preserve">- </w:t>
            </w:r>
            <w:r>
              <w:rPr>
                <w:rFonts w:ascii="Calibri" w:hAnsi="Calibri"/>
                <w:b/>
                <w:sz w:val="22"/>
                <w:lang w:eastAsia="de-DE"/>
              </w:rPr>
              <w:t>mineralische Rohstoffe:</w:t>
            </w:r>
            <w:r>
              <w:rPr>
                <w:rFonts w:ascii="Calibri" w:hAnsi="Calibri"/>
                <w:sz w:val="22"/>
                <w:lang w:eastAsia="de-DE"/>
              </w:rPr>
              <w:t xml:space="preserve"> </w:t>
            </w:r>
          </w:p>
          <w:p>
            <w:pPr>
              <w:pStyle w:val="Normal"/>
              <w:suppressAutoHyphens w:val="false"/>
              <w:ind w:right="113"/>
              <w:jc w:val="both"/>
              <w:rPr>
                <w:rFonts w:ascii="Calibri" w:hAnsi="Calibri"/>
                <w:sz w:val="22"/>
                <w:lang w:eastAsia="de-DE"/>
              </w:rPr>
            </w:pPr>
            <w:r>
              <w:rPr>
                <w:rFonts w:ascii="Calibri" w:hAnsi="Calibri"/>
                <w:sz w:val="22"/>
                <w:lang w:eastAsia="de-DE"/>
              </w:rPr>
            </w:r>
          </w:p>
          <w:p>
            <w:pPr>
              <w:pStyle w:val="Normal"/>
              <w:suppressAutoHyphens w:val="false"/>
              <w:ind w:right="113"/>
              <w:jc w:val="both"/>
              <w:rPr>
                <w:rFonts w:ascii="Calibri" w:hAnsi="Calibri" w:eastAsia="Calibri"/>
                <w:sz w:val="22"/>
                <w:lang w:eastAsia="de-DE"/>
              </w:rPr>
            </w:pPr>
            <w:r>
              <w:rPr>
                <w:rFonts w:ascii="Calibri" w:hAnsi="Calibri"/>
                <w:sz w:val="22"/>
                <w:lang w:eastAsia="de-DE"/>
              </w:rPr>
              <w:t>Sofern es durch weitere evtl. erforderliche landespflegerische Kompensationsmaßnahmen außerhalb des Geltungsbereiches des Bebauungsplanes zu keinerlei Überschneidungen mit der rohstoffgeologischen Fachplanung kommt, die im Rahmen der Novellierung des RROP der zuständigen Planungsgemeinschaft vorliegt, bestehen aus der Sicht der Rohstoffsicherung gegen das geplante Vorhaben keine Einwände.</w:t>
            </w:r>
          </w:p>
        </w:tc>
      </w:tr>
    </w:tbl>
    <w:p>
      <w:pPr>
        <w:pStyle w:val="Normal"/>
        <w:suppressAutoHyphens w:val="false"/>
        <w:ind w:right="113"/>
        <w:jc w:val="both"/>
        <w:rPr>
          <w:rFonts w:ascii="Calibri" w:hAnsi="Calibri"/>
          <w:sz w:val="22"/>
          <w:lang w:eastAsia="de-DE"/>
        </w:rPr>
      </w:pPr>
      <w:r>
        <w:rPr>
          <w:rFonts w:ascii="Calibri" w:hAnsi="Calibri"/>
          <w:sz w:val="22"/>
          <w:lang w:eastAsia="de-DE"/>
        </w:rPr>
      </w:r>
    </w:p>
    <w:p>
      <w:pPr>
        <w:pStyle w:val="Normal"/>
        <w:keepNext w:val="true"/>
        <w:numPr>
          <w:ilvl w:val="0"/>
          <w:numId w:val="39"/>
        </w:numPr>
        <w:tabs>
          <w:tab w:val="clear" w:pos="709"/>
          <w:tab w:val="left" w:pos="2694" w:leader="none"/>
          <w:tab w:val="left" w:pos="8505" w:leader="none"/>
        </w:tabs>
        <w:suppressAutoHyphens w:val="false"/>
        <w:spacing w:before="360" w:after="100"/>
        <w:ind w:hanging="432" w:left="858" w:right="-29"/>
        <w:jc w:val="both"/>
        <w:outlineLvl w:val="0"/>
        <w:rPr>
          <w:rFonts w:ascii="Calibri" w:hAnsi="Calibri"/>
          <w:b/>
          <w:sz w:val="22"/>
          <w:lang w:eastAsia="de-DE"/>
        </w:rPr>
      </w:pPr>
      <w:bookmarkStart w:id="24" w:name="_Toc122069591"/>
      <w:r>
        <w:rPr>
          <w:rFonts w:ascii="Calibri" w:hAnsi="Calibri"/>
          <w:b/>
          <w:sz w:val="22"/>
          <w:lang w:eastAsia="de-DE"/>
        </w:rPr>
        <w:t>Landesbetrieb Liegenschafts- und Baubetreuung Niederlassung Trier</w:t>
      </w:r>
      <w:bookmarkEnd w:id="24"/>
    </w:p>
    <w:tbl>
      <w:tblPr>
        <w:tblW w:w="14454"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206"/>
        <w:gridCol w:w="14247"/>
      </w:tblGrid>
      <w:tr>
        <w:trPr>
          <w:tblHeader w:val="true"/>
        </w:trPr>
        <w:tc>
          <w:tcPr>
            <w:tcW w:w="14453" w:type="dxa"/>
            <w:gridSpan w:val="2"/>
            <w:tcBorders>
              <w:top w:val="single" w:sz="4" w:space="0" w:color="000000"/>
              <w:left w:val="single" w:sz="4" w:space="0" w:color="000000"/>
              <w:bottom w:val="single" w:sz="4" w:space="0" w:color="000000"/>
              <w:right w:val="single" w:sz="4" w:space="0" w:color="000000"/>
            </w:tcBorders>
            <w:shd w:color="auto" w:fill="FFFFFF" w:val="pct12"/>
          </w:tcPr>
          <w:p>
            <w:pPr>
              <w:pStyle w:val="Normal"/>
              <w:tabs>
                <w:tab w:val="clear" w:pos="709"/>
                <w:tab w:val="left" w:pos="1875" w:leader="none"/>
              </w:tabs>
              <w:suppressAutoHyphens w:val="false"/>
              <w:ind w:right="113"/>
              <w:jc w:val="both"/>
              <w:rPr>
                <w:rFonts w:ascii="Calibri" w:hAnsi="Calibri"/>
                <w:b/>
                <w:sz w:val="22"/>
                <w:lang w:eastAsia="de-DE"/>
              </w:rPr>
            </w:pPr>
            <w:r>
              <w:rPr>
                <w:rFonts w:ascii="Calibri" w:hAnsi="Calibri"/>
                <w:b/>
                <w:sz w:val="22"/>
                <w:lang w:eastAsia="de-DE"/>
              </w:rPr>
              <w:t>Anregung</w:t>
            </w:r>
          </w:p>
        </w:tc>
      </w:tr>
      <w:tr>
        <w:trPr/>
        <w:tc>
          <w:tcPr>
            <w:tcW w:w="206" w:type="dxa"/>
            <w:tcBorders>
              <w:top w:val="single" w:sz="4" w:space="0" w:color="000000"/>
              <w:left w:val="single" w:sz="4" w:space="0" w:color="000000"/>
              <w:bottom w:val="single" w:sz="4" w:space="0" w:color="000000"/>
            </w:tcBorders>
          </w:tcPr>
          <w:p>
            <w:pPr>
              <w:pStyle w:val="Normal"/>
              <w:widowControl w:val="false"/>
              <w:tabs>
                <w:tab w:val="clear" w:pos="709"/>
                <w:tab w:val="left" w:pos="708" w:leader="none"/>
                <w:tab w:val="center" w:pos="4536" w:leader="none"/>
                <w:tab w:val="right" w:pos="9072" w:leader="none"/>
              </w:tabs>
              <w:suppressAutoHyphens w:val="false"/>
              <w:ind w:right="113"/>
              <w:jc w:val="right"/>
              <w:rPr>
                <w:rFonts w:ascii="Calibri" w:hAnsi="Calibri"/>
                <w:sz w:val="16"/>
                <w:highlight w:val="yellow"/>
                <w:lang w:eastAsia="de-DE"/>
              </w:rPr>
            </w:pPr>
            <w:r>
              <w:rPr>
                <w:rFonts w:ascii="Calibri" w:hAnsi="Calibri"/>
                <w:sz w:val="16"/>
                <w:highlight w:val="yellow"/>
                <w:lang w:eastAsia="de-DE"/>
              </w:rPr>
            </w:r>
          </w:p>
        </w:tc>
        <w:tc>
          <w:tcPr>
            <w:tcW w:w="14247" w:type="dxa"/>
            <w:tcBorders>
              <w:top w:val="single" w:sz="4" w:space="0" w:color="000000"/>
              <w:bottom w:val="single" w:sz="4" w:space="0" w:color="000000"/>
              <w:right w:val="single" w:sz="4" w:space="0" w:color="000000"/>
            </w:tcBorders>
          </w:tcPr>
          <w:p>
            <w:pPr>
              <w:pStyle w:val="Normal"/>
              <w:suppressAutoHyphens w:val="false"/>
              <w:spacing w:lineRule="exact" w:line="241" w:before="477" w:after="734"/>
              <w:ind w:right="113"/>
              <w:jc w:val="both"/>
              <w:textAlignment w:val="baseline"/>
              <w:rPr>
                <w:rFonts w:ascii="Tahoma" w:hAnsi="Tahoma" w:eastAsia="Tahoma"/>
                <w:color w:val="000000"/>
                <w:sz w:val="19"/>
                <w:lang w:eastAsia="de-DE"/>
              </w:rPr>
            </w:pPr>
            <w:r>
              <w:rPr>
                <w:rFonts w:eastAsia="Tahoma" w:ascii="Tahoma" w:hAnsi="Tahoma"/>
                <w:color w:val="000000"/>
                <w:sz w:val="19"/>
                <w:lang w:eastAsia="de-DE"/>
              </w:rPr>
              <w:t xml:space="preserve">im Bereich der aufgeführten Maßnahme befinden sich keine Liegenschaften des Landes, des Bundes oder der Gaststreitkräfte, welche von der </w:t>
            </w:r>
            <w:r>
              <w:rPr>
                <w:rFonts w:eastAsia="Verdana" w:ascii="Verdana" w:hAnsi="Verdana"/>
                <w:b/>
                <w:i/>
                <w:color w:val="000000"/>
                <w:sz w:val="19"/>
                <w:u w:val="single"/>
                <w:lang w:eastAsia="de-DE"/>
              </w:rPr>
              <w:t>Maßnahme jetzt betroffen,</w:t>
            </w:r>
            <w:r>
              <w:rPr>
                <w:rFonts w:eastAsia="Tahoma" w:ascii="Tahoma" w:hAnsi="Tahoma"/>
                <w:color w:val="000000"/>
                <w:sz w:val="19"/>
                <w:lang w:eastAsia="de-DE"/>
              </w:rPr>
              <w:t xml:space="preserve"> und vom </w:t>
            </w:r>
            <w:r>
              <w:rPr>
                <w:rFonts w:eastAsia="Tahoma" w:ascii="Tahoma" w:hAnsi="Tahoma"/>
                <w:b/>
                <w:color w:val="000000"/>
                <w:sz w:val="19"/>
                <w:lang w:eastAsia="de-DE"/>
              </w:rPr>
              <w:t xml:space="preserve">Landesbetrieb Liegenschafts- und Baubetreuung, Niederlassung Trier, </w:t>
            </w:r>
            <w:r>
              <w:rPr>
                <w:rFonts w:eastAsia="Tahoma" w:ascii="Tahoma" w:hAnsi="Tahoma"/>
                <w:color w:val="000000"/>
                <w:sz w:val="19"/>
                <w:lang w:eastAsia="de-DE"/>
              </w:rPr>
              <w:t>zu betreuen sind.</w:t>
            </w:r>
          </w:p>
        </w:tc>
      </w:tr>
    </w:tbl>
    <w:p>
      <w:pPr>
        <w:pStyle w:val="Normal"/>
        <w:keepNext w:val="true"/>
        <w:numPr>
          <w:ilvl w:val="0"/>
          <w:numId w:val="40"/>
        </w:numPr>
        <w:tabs>
          <w:tab w:val="clear" w:pos="709"/>
          <w:tab w:val="left" w:pos="2694" w:leader="none"/>
          <w:tab w:val="left" w:pos="8505" w:leader="none"/>
        </w:tabs>
        <w:suppressAutoHyphens w:val="false"/>
        <w:spacing w:before="360" w:after="100"/>
        <w:ind w:hanging="432" w:left="858" w:right="-29"/>
        <w:jc w:val="both"/>
        <w:outlineLvl w:val="0"/>
        <w:rPr>
          <w:rFonts w:ascii="Calibri" w:hAnsi="Calibri"/>
          <w:b/>
          <w:sz w:val="22"/>
          <w:lang w:eastAsia="de-DE"/>
        </w:rPr>
      </w:pPr>
      <w:bookmarkStart w:id="25" w:name="_Toc122069592"/>
      <w:r>
        <w:rPr>
          <w:rFonts w:ascii="Calibri" w:hAnsi="Calibri"/>
          <w:b/>
          <w:sz w:val="22"/>
          <w:lang w:eastAsia="de-DE"/>
        </w:rPr>
        <w:t>Landwirtschaftskammer Rheinland-Pfalz, Außenstelle Trier</w:t>
      </w:r>
      <w:bookmarkEnd w:id="25"/>
    </w:p>
    <w:tbl>
      <w:tblPr>
        <w:tblW w:w="14454"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206"/>
        <w:gridCol w:w="14247"/>
      </w:tblGrid>
      <w:tr>
        <w:trPr>
          <w:tblHeader w:val="true"/>
        </w:trPr>
        <w:tc>
          <w:tcPr>
            <w:tcW w:w="14453" w:type="dxa"/>
            <w:gridSpan w:val="2"/>
            <w:tcBorders>
              <w:top w:val="single" w:sz="4" w:space="0" w:color="000000"/>
              <w:left w:val="single" w:sz="4" w:space="0" w:color="000000"/>
              <w:bottom w:val="single" w:sz="4" w:space="0" w:color="000000"/>
              <w:right w:val="single" w:sz="4" w:space="0" w:color="000000"/>
            </w:tcBorders>
            <w:shd w:color="auto" w:fill="FFFFFF" w:val="pct12"/>
          </w:tcPr>
          <w:p>
            <w:pPr>
              <w:pStyle w:val="Normal"/>
              <w:tabs>
                <w:tab w:val="clear" w:pos="709"/>
                <w:tab w:val="left" w:pos="1875" w:leader="none"/>
              </w:tabs>
              <w:suppressAutoHyphens w:val="false"/>
              <w:ind w:right="113"/>
              <w:jc w:val="both"/>
              <w:rPr>
                <w:rFonts w:ascii="Calibri" w:hAnsi="Calibri"/>
                <w:b/>
                <w:sz w:val="22"/>
                <w:lang w:eastAsia="de-DE"/>
              </w:rPr>
            </w:pPr>
            <w:r>
              <w:rPr>
                <w:rFonts w:ascii="Calibri" w:hAnsi="Calibri"/>
                <w:b/>
                <w:sz w:val="22"/>
                <w:lang w:eastAsia="de-DE"/>
              </w:rPr>
              <w:t>Anregung</w:t>
            </w:r>
          </w:p>
        </w:tc>
      </w:tr>
      <w:tr>
        <w:trPr/>
        <w:tc>
          <w:tcPr>
            <w:tcW w:w="206" w:type="dxa"/>
            <w:tcBorders>
              <w:top w:val="single" w:sz="4" w:space="0" w:color="000000"/>
              <w:left w:val="single" w:sz="4" w:space="0" w:color="000000"/>
              <w:bottom w:val="single" w:sz="4" w:space="0" w:color="000000"/>
            </w:tcBorders>
          </w:tcPr>
          <w:p>
            <w:pPr>
              <w:pStyle w:val="Normal"/>
              <w:suppressAutoHyphens w:val="false"/>
              <w:ind w:right="113"/>
              <w:jc w:val="both"/>
              <w:rPr>
                <w:rFonts w:ascii="Calibri" w:hAnsi="Calibri"/>
                <w:sz w:val="22"/>
                <w:lang w:eastAsia="de-DE"/>
              </w:rPr>
            </w:pPr>
            <w:r>
              <w:rPr>
                <w:rFonts w:ascii="Calibri" w:hAnsi="Calibri"/>
                <w:sz w:val="22"/>
                <w:lang w:eastAsia="de-DE"/>
              </w:rPr>
            </w:r>
          </w:p>
        </w:tc>
        <w:tc>
          <w:tcPr>
            <w:tcW w:w="14247" w:type="dxa"/>
            <w:tcBorders>
              <w:top w:val="single" w:sz="4" w:space="0" w:color="000000"/>
              <w:bottom w:val="single" w:sz="4" w:space="0" w:color="000000"/>
              <w:right w:val="single" w:sz="4" w:space="0" w:color="000000"/>
            </w:tcBorders>
          </w:tcPr>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die Gemeinde Lieser möchte ein Baugebiet von rund 2,85 ha ausweisen. Die Fläche ist bereits im FNP als Mischgebiet dargestellt.</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Gegen die Ausweisung als Mischgebiet bestehen aus landwirtschaftlicher Sicht keine Bedenken.</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Wir möchten darauf hinweisen, dass bereits eine weinbauliche Nutzung innerhalb der Gebietskulisse vorhanden ist und aufgrund dessen die Ausweisung eines Mischgebietes zwingend als notwendig angesehen wird. Eine Ausweisung als WA kommt hier aufgrund der entstehenden Gemengelage nicht in Frage und wird unsererseits abgelehnt.</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Als externe Ausgleichsmaßnahme ist die Fläche Gemarkung Lieser, Flur 27 Nummer 78 vorgesehen. Auf dieser Fläche sind Gehölzpflanzungen vorgesehen. Die Fläche ist im Entwurf des Regionalen Raumordnungsplans Region Trier, Stand 2014, als Vorrangfläche Landwirtschaft ausgewiesen. Die umliegenden Flächen weisen alle bis zu 58 Bodenpunkte auf und stellen damit herausragende Standorte für die Landwirtschaft dar.</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Aufgrund dessen wird diese Fläche für naturschutzfachliche Kompensationszwecke aus agrarstrukturellen Bedenken abgelehnt.</w:t>
            </w:r>
          </w:p>
          <w:p>
            <w:pPr>
              <w:pStyle w:val="Normal"/>
              <w:suppressAutoHyphens w:val="false"/>
              <w:ind w:right="113"/>
              <w:jc w:val="both"/>
              <w:rPr>
                <w:rFonts w:ascii="Calibri" w:hAnsi="Calibri" w:eastAsia="Arial Narrow"/>
                <w:bCs/>
                <w:sz w:val="22"/>
                <w:shd w:fill="FFFFFF" w:val="clear"/>
                <w:lang w:eastAsia="de-DE"/>
              </w:rPr>
            </w:pPr>
            <w:r>
              <w:rPr>
                <w:rFonts w:eastAsia="Arial Narrow" w:ascii="Calibri" w:hAnsi="Calibri"/>
                <w:bCs/>
                <w:sz w:val="22"/>
                <w:shd w:fill="FFFFFF" w:val="clear"/>
                <w:lang w:eastAsia="de-DE"/>
              </w:rPr>
            </w:r>
          </w:p>
        </w:tc>
      </w:tr>
    </w:tbl>
    <w:p>
      <w:pPr>
        <w:pStyle w:val="Normal"/>
        <w:keepNext w:val="true"/>
        <w:numPr>
          <w:ilvl w:val="0"/>
          <w:numId w:val="41"/>
        </w:numPr>
        <w:tabs>
          <w:tab w:val="clear" w:pos="709"/>
          <w:tab w:val="left" w:pos="2694" w:leader="none"/>
          <w:tab w:val="left" w:pos="8505" w:leader="none"/>
        </w:tabs>
        <w:suppressAutoHyphens w:val="false"/>
        <w:spacing w:before="360" w:after="100"/>
        <w:ind w:hanging="432" w:left="858" w:right="-29"/>
        <w:jc w:val="both"/>
        <w:outlineLvl w:val="0"/>
        <w:rPr>
          <w:rFonts w:ascii="Calibri" w:hAnsi="Calibri"/>
          <w:b/>
          <w:sz w:val="22"/>
          <w:lang w:eastAsia="de-DE"/>
        </w:rPr>
      </w:pPr>
      <w:bookmarkStart w:id="26" w:name="_Toc122069593"/>
      <w:r>
        <w:rPr>
          <w:rFonts w:ascii="Calibri" w:hAnsi="Calibri"/>
          <w:b/>
          <w:sz w:val="22"/>
          <w:lang w:eastAsia="de-DE"/>
        </w:rPr>
        <w:t>Struktur- und Genehmigungsdirektion Nord Regionalstelle Wasserwirtschaft, Abfallwirtschaft, Bodenschutz</w:t>
      </w:r>
      <w:bookmarkEnd w:id="26"/>
    </w:p>
    <w:tbl>
      <w:tblPr>
        <w:tblW w:w="14454"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206"/>
        <w:gridCol w:w="14247"/>
      </w:tblGrid>
      <w:tr>
        <w:trPr>
          <w:tblHeader w:val="true"/>
        </w:trPr>
        <w:tc>
          <w:tcPr>
            <w:tcW w:w="14453" w:type="dxa"/>
            <w:gridSpan w:val="2"/>
            <w:tcBorders>
              <w:top w:val="single" w:sz="4" w:space="0" w:color="000000"/>
              <w:left w:val="single" w:sz="4" w:space="0" w:color="000000"/>
              <w:bottom w:val="single" w:sz="4" w:space="0" w:color="000000"/>
              <w:right w:val="single" w:sz="4" w:space="0" w:color="000000"/>
            </w:tcBorders>
            <w:shd w:color="auto" w:fill="FFFFFF" w:val="pct12"/>
          </w:tcPr>
          <w:p>
            <w:pPr>
              <w:pStyle w:val="Normal"/>
              <w:tabs>
                <w:tab w:val="clear" w:pos="709"/>
                <w:tab w:val="left" w:pos="1875" w:leader="none"/>
              </w:tabs>
              <w:suppressAutoHyphens w:val="false"/>
              <w:ind w:right="113"/>
              <w:jc w:val="both"/>
              <w:rPr>
                <w:rFonts w:ascii="Calibri" w:hAnsi="Calibri"/>
                <w:b/>
                <w:sz w:val="22"/>
                <w:lang w:eastAsia="de-DE"/>
              </w:rPr>
            </w:pPr>
            <w:r>
              <w:rPr>
                <w:rFonts w:ascii="Calibri" w:hAnsi="Calibri"/>
                <w:b/>
                <w:sz w:val="22"/>
                <w:lang w:eastAsia="de-DE"/>
              </w:rPr>
              <w:t>Anregung</w:t>
            </w:r>
          </w:p>
        </w:tc>
      </w:tr>
      <w:tr>
        <w:trPr/>
        <w:tc>
          <w:tcPr>
            <w:tcW w:w="206" w:type="dxa"/>
            <w:tcBorders>
              <w:top w:val="single" w:sz="4" w:space="0" w:color="000000"/>
              <w:left w:val="single" w:sz="4" w:space="0" w:color="000000"/>
              <w:bottom w:val="single" w:sz="4" w:space="0" w:color="000000"/>
            </w:tcBorders>
          </w:tcPr>
          <w:p>
            <w:pPr>
              <w:pStyle w:val="Normal"/>
              <w:widowControl w:val="false"/>
              <w:tabs>
                <w:tab w:val="clear" w:pos="709"/>
                <w:tab w:val="left" w:pos="708" w:leader="none"/>
                <w:tab w:val="center" w:pos="4536" w:leader="none"/>
                <w:tab w:val="right" w:pos="9072" w:leader="none"/>
              </w:tabs>
              <w:suppressAutoHyphens w:val="false"/>
              <w:ind w:right="113"/>
              <w:jc w:val="right"/>
              <w:rPr>
                <w:rFonts w:ascii="Calibri" w:hAnsi="Calibri"/>
                <w:sz w:val="16"/>
                <w:lang w:eastAsia="de-DE"/>
              </w:rPr>
            </w:pPr>
            <w:r>
              <w:rPr>
                <w:rFonts w:ascii="Calibri" w:hAnsi="Calibri"/>
                <w:sz w:val="16"/>
                <w:lang w:eastAsia="de-DE"/>
              </w:rPr>
            </w:r>
          </w:p>
        </w:tc>
        <w:tc>
          <w:tcPr>
            <w:tcW w:w="14247" w:type="dxa"/>
            <w:tcBorders>
              <w:top w:val="single" w:sz="4" w:space="0" w:color="000000"/>
              <w:bottom w:val="single" w:sz="4" w:space="0" w:color="000000"/>
              <w:right w:val="single" w:sz="4" w:space="0" w:color="000000"/>
            </w:tcBorders>
          </w:tcPr>
          <w:p>
            <w:pPr>
              <w:pStyle w:val="Normal"/>
              <w:suppressAutoHyphens w:val="false"/>
              <w:spacing w:lineRule="exact" w:line="267" w:before="454" w:after="0"/>
              <w:ind w:right="113"/>
              <w:jc w:val="both"/>
              <w:textAlignment w:val="baseline"/>
              <w:rPr>
                <w:rFonts w:ascii="Calibri" w:hAnsi="Calibri" w:eastAsia="Arial" w:cs="Calibri"/>
                <w:color w:val="000000"/>
                <w:spacing w:val="5"/>
                <w:sz w:val="22"/>
                <w:szCs w:val="22"/>
                <w:lang w:eastAsia="de-DE"/>
              </w:rPr>
            </w:pPr>
            <w:r>
              <w:rPr>
                <w:rFonts w:eastAsia="Arial" w:cs="Calibri" w:ascii="Calibri" w:hAnsi="Calibri"/>
                <w:color w:val="000000"/>
                <w:spacing w:val="5"/>
                <w:sz w:val="22"/>
                <w:szCs w:val="22"/>
                <w:lang w:eastAsia="de-DE"/>
              </w:rPr>
              <w:t>zu dem Bebauungsplanentwurf äußere ich mich wie folgt:</w:t>
            </w:r>
          </w:p>
          <w:p>
            <w:pPr>
              <w:pStyle w:val="Normal"/>
              <w:suppressAutoHyphens w:val="false"/>
              <w:spacing w:lineRule="exact" w:line="366" w:before="347" w:after="0"/>
              <w:ind w:right="1080"/>
              <w:jc w:val="both"/>
              <w:textAlignment w:val="baseline"/>
              <w:rPr>
                <w:rFonts w:ascii="Calibri" w:hAnsi="Calibri" w:eastAsia="Arial" w:cs="Calibri"/>
                <w:color w:val="000000"/>
                <w:spacing w:val="4"/>
                <w:sz w:val="22"/>
                <w:szCs w:val="22"/>
                <w:lang w:eastAsia="de-DE"/>
              </w:rPr>
            </w:pPr>
            <w:r>
              <w:rPr>
                <w:rFonts w:eastAsia="Arial" w:cs="Calibri" w:ascii="Calibri" w:hAnsi="Calibri"/>
                <w:color w:val="000000"/>
                <w:spacing w:val="4"/>
                <w:sz w:val="22"/>
                <w:szCs w:val="22"/>
                <w:lang w:eastAsia="de-DE"/>
              </w:rPr>
              <w:t>Vom Plangebiet wird kein Wasserschutzgebiet und kein Oberflächengewässer betroffen.</w:t>
            </w:r>
          </w:p>
          <w:p>
            <w:pPr>
              <w:pStyle w:val="Normal"/>
              <w:suppressAutoHyphens w:val="false"/>
              <w:spacing w:lineRule="exact" w:line="717" w:before="3" w:after="0"/>
              <w:ind w:right="113"/>
              <w:jc w:val="both"/>
              <w:textAlignment w:val="baseline"/>
              <w:rPr>
                <w:rFonts w:ascii="Calibri" w:hAnsi="Calibri" w:eastAsia="Arial" w:cs="Calibri"/>
                <w:b/>
                <w:color w:val="000000"/>
                <w:sz w:val="22"/>
                <w:szCs w:val="22"/>
                <w:lang w:eastAsia="de-DE"/>
              </w:rPr>
            </w:pPr>
            <w:r>
              <w:rPr>
                <w:rFonts w:eastAsia="Arial" w:cs="Calibri" w:ascii="Calibri" w:hAnsi="Calibri"/>
                <w:b/>
                <w:color w:val="000000"/>
                <w:sz w:val="22"/>
                <w:szCs w:val="22"/>
                <w:lang w:eastAsia="de-DE"/>
              </w:rPr>
              <w:t xml:space="preserve">Bodenschutz / Altlasten </w:t>
            </w:r>
          </w:p>
          <w:p>
            <w:pPr>
              <w:pStyle w:val="Normal"/>
              <w:suppressAutoHyphens w:val="false"/>
              <w:spacing w:lineRule="exact" w:line="717" w:before="3" w:after="0"/>
              <w:ind w:right="113"/>
              <w:jc w:val="both"/>
              <w:textAlignment w:val="baseline"/>
              <w:rPr>
                <w:rFonts w:ascii="Calibri" w:hAnsi="Calibri" w:eastAsia="Arial" w:cs="Calibri"/>
                <w:b/>
                <w:color w:val="000000"/>
                <w:sz w:val="22"/>
                <w:szCs w:val="22"/>
                <w:lang w:eastAsia="de-DE"/>
              </w:rPr>
            </w:pPr>
            <w:r>
              <w:rPr>
                <w:rFonts w:eastAsia="Arial" w:cs="Calibri" w:ascii="Calibri" w:hAnsi="Calibri"/>
                <w:color w:val="000000"/>
                <w:sz w:val="22"/>
                <w:szCs w:val="22"/>
                <w:lang w:eastAsia="de-DE"/>
              </w:rPr>
              <w:t>Vorbemerkungen</w:t>
            </w:r>
          </w:p>
          <w:p>
            <w:pPr>
              <w:pStyle w:val="Normal"/>
              <w:suppressAutoHyphens w:val="false"/>
              <w:spacing w:lineRule="exact" w:line="357"/>
              <w:ind w:left="72" w:right="792"/>
              <w:jc w:val="both"/>
              <w:textAlignment w:val="baseline"/>
              <w:rPr>
                <w:rFonts w:ascii="Calibri" w:hAnsi="Calibri" w:eastAsia="Arial" w:cs="Calibri"/>
                <w:color w:val="000000"/>
                <w:sz w:val="22"/>
                <w:szCs w:val="22"/>
                <w:lang w:eastAsia="de-DE"/>
              </w:rPr>
            </w:pPr>
            <w:r>
              <w:rPr>
                <w:rFonts w:eastAsia="Arial" w:cs="Calibri" w:ascii="Calibri" w:hAnsi="Calibri"/>
                <w:color w:val="000000"/>
                <w:sz w:val="22"/>
                <w:szCs w:val="22"/>
                <w:lang w:eastAsia="de-DE"/>
              </w:rPr>
              <w:t>Nach § 6 Abs. 1 Landesbauordnung (LBauO) dürfen Grundstücke, die mit umweltge</w:t>
              <w:softHyphen/>
              <w:t>fährdenden Stoffen belastet sind, nur bebaut werden, wenn von Ihnen keine Gefähr- dungen für die Umwelt, insbesondere die menschliche Gesundheit, ausgehen oder die Gefährdung nach Art der vorgesehenen Bebauung unschädlich ist.</w:t>
            </w:r>
          </w:p>
          <w:p>
            <w:pPr>
              <w:pStyle w:val="Normal"/>
              <w:suppressAutoHyphens w:val="false"/>
              <w:spacing w:lineRule="exact" w:line="361" w:before="354" w:after="0"/>
              <w:ind w:left="72" w:right="792"/>
              <w:jc w:val="both"/>
              <w:textAlignment w:val="baseline"/>
              <w:rPr>
                <w:rFonts w:ascii="Calibri" w:hAnsi="Calibri" w:eastAsia="Arial" w:cs="Calibri"/>
                <w:color w:val="000000"/>
                <w:spacing w:val="4"/>
                <w:sz w:val="22"/>
                <w:szCs w:val="22"/>
                <w:lang w:eastAsia="de-DE"/>
              </w:rPr>
            </w:pPr>
            <w:r>
              <w:rPr>
                <w:rFonts w:eastAsia="Arial" w:cs="Calibri" w:ascii="Calibri" w:hAnsi="Calibri"/>
                <w:color w:val="000000"/>
                <w:spacing w:val="4"/>
                <w:sz w:val="22"/>
                <w:szCs w:val="22"/>
                <w:lang w:eastAsia="de-DE"/>
              </w:rPr>
              <w:t>Aus den eingereichten Unterlagen geht hervor, dass das überplante Gelände teilweise weinbaulich genutzt wurde. Es besteht daher der begründete Verdacht, dass dort die langjährige Anwendung von Pflanzenschutzmitteln (Organchlorpestizide, Arsen und Kupfer) sowie die Nutzung von imprägnierten Weinbergspfählen (potentielle Schad</w:t>
              <w:softHyphen/>
              <w:t>stoffe in Holzschutzmitteln: Schwermetalle, PAK,</w:t>
            </w:r>
            <w:r>
              <w:rPr>
                <w:rFonts w:eastAsia="Arial" w:cs="Calibri" w:ascii="Calibri" w:hAnsi="Calibri"/>
                <w:color w:val="000000"/>
                <w:spacing w:val="4"/>
                <w:sz w:val="22"/>
                <w:szCs w:val="22"/>
                <w:lang w:val="en-US" w:eastAsia="de-DE"/>
              </w:rPr>
              <w:t xml:space="preserve"> PCB</w:t>
            </w:r>
            <w:r>
              <w:rPr>
                <w:rFonts w:eastAsia="Arial" w:cs="Calibri" w:ascii="Calibri" w:hAnsi="Calibri"/>
                <w:color w:val="000000"/>
                <w:spacing w:val="4"/>
                <w:sz w:val="22"/>
                <w:szCs w:val="22"/>
                <w:lang w:eastAsia="de-DE"/>
              </w:rPr>
              <w:t xml:space="preserve"> und Organochlorpestizide) zu Einträgen und einer Anreicherung von Schadstoffen im Boden geführt haben könnte.</w:t>
            </w:r>
          </w:p>
          <w:p>
            <w:pPr>
              <w:pStyle w:val="Normal"/>
              <w:suppressAutoHyphens w:val="false"/>
              <w:spacing w:lineRule="exact" w:line="361" w:before="356" w:after="0"/>
              <w:ind w:left="72" w:right="792"/>
              <w:jc w:val="both"/>
              <w:textAlignment w:val="baseline"/>
              <w:rPr>
                <w:rFonts w:ascii="Calibri" w:hAnsi="Calibri" w:eastAsia="Arial" w:cs="Calibri"/>
                <w:color w:val="000000"/>
                <w:sz w:val="22"/>
                <w:szCs w:val="22"/>
                <w:lang w:eastAsia="de-DE"/>
              </w:rPr>
            </w:pPr>
            <w:r>
              <w:rPr>
                <w:rFonts w:eastAsia="Arial" w:cs="Calibri" w:ascii="Calibri" w:hAnsi="Calibri"/>
                <w:color w:val="000000"/>
                <w:sz w:val="22"/>
                <w:szCs w:val="22"/>
                <w:lang w:eastAsia="de-DE"/>
              </w:rPr>
              <w:t>Bei der Aufstellung des Bebauungsplanes muss sichergestellt sein, dass keine Beein</w:t>
              <w:softHyphen/>
              <w:t>trächtigungen der Bodenfunktionen vorliegen, die geeignet sind, Gefahren, erhebliche Nachteile oder erhebliche Belästigungen für den einzelnen oder die Allgemeinheit her</w:t>
              <w:softHyphen/>
              <w:t>beizuführen (§ 2 Abs. 3 BBodSchG). Ferner muss die generelle Bebaubarkeit, die An</w:t>
              <w:softHyphen/>
              <w:t>forderungen an gesunde Wohn- und Arbeitsverhältnisse sowie die Belange des Um</w:t>
              <w:softHyphen/>
              <w:t>weltschutzes im Sinne des § 1 BauGB gewährleistet sein.</w:t>
            </w:r>
          </w:p>
          <w:p>
            <w:pPr>
              <w:pStyle w:val="Normal"/>
              <w:suppressAutoHyphens w:val="false"/>
              <w:spacing w:lineRule="exact" w:line="361" w:before="358" w:after="0"/>
              <w:ind w:left="72" w:right="1008"/>
              <w:jc w:val="both"/>
              <w:textAlignment w:val="baseline"/>
              <w:rPr>
                <w:rFonts w:ascii="Calibri" w:hAnsi="Calibri" w:eastAsia="Arial" w:cs="Calibri"/>
                <w:color w:val="000000"/>
                <w:sz w:val="22"/>
                <w:szCs w:val="22"/>
                <w:lang w:eastAsia="de-DE"/>
              </w:rPr>
            </w:pPr>
            <w:r>
              <w:rPr>
                <w:rFonts w:eastAsia="Arial" w:cs="Calibri" w:ascii="Calibri" w:hAnsi="Calibri"/>
                <w:color w:val="000000"/>
                <w:sz w:val="22"/>
                <w:szCs w:val="22"/>
                <w:lang w:eastAsia="de-DE"/>
              </w:rPr>
              <w:t>Der „Erlass zur Berücksichtigung von Flächen mit Bodenbelastungen, insbesondere Altlasten, bei der Bauleitplanung und im Baugenehmigungsverfahren" ist im BP-Ver</w:t>
              <w:softHyphen/>
              <w:t>fahren zu berücksichtigen.</w:t>
            </w:r>
          </w:p>
          <w:p>
            <w:pPr>
              <w:pStyle w:val="Normal"/>
              <w:suppressAutoHyphens w:val="false"/>
              <w:spacing w:lineRule="exact" w:line="311"/>
              <w:ind w:left="1296" w:right="1152"/>
              <w:jc w:val="both"/>
              <w:textAlignment w:val="baseline"/>
              <w:rPr>
                <w:rFonts w:ascii="Calibri" w:hAnsi="Calibri" w:eastAsia="Arial" w:cs="Calibri"/>
                <w:color w:val="000000"/>
                <w:sz w:val="22"/>
                <w:szCs w:val="22"/>
                <w:lang w:eastAsia="de-DE"/>
              </w:rPr>
            </w:pPr>
            <w:r>
              <w:rPr>
                <w:rFonts w:eastAsia="Arial" w:cs="Calibri" w:ascii="Calibri" w:hAnsi="Calibri"/>
                <w:color w:val="000000"/>
                <w:sz w:val="22"/>
                <w:szCs w:val="22"/>
                <w:lang w:eastAsia="de-DE"/>
              </w:rPr>
              <w:t>Parameter unter Beachtung der in der BBodSchV angegebenen Extraktionsverfahren und Methoden zu untersuchen:</w:t>
            </w:r>
          </w:p>
          <w:p>
            <w:pPr>
              <w:pStyle w:val="Normal"/>
              <w:numPr>
                <w:ilvl w:val="0"/>
                <w:numId w:val="20"/>
              </w:numPr>
              <w:tabs>
                <w:tab w:val="clear" w:pos="709"/>
                <w:tab w:val="left" w:pos="1728" w:leader="none"/>
              </w:tabs>
              <w:suppressAutoHyphens w:val="false"/>
              <w:spacing w:lineRule="exact" w:line="292" w:before="432" w:after="0"/>
              <w:ind w:hanging="360" w:left="360" w:right="113"/>
              <w:jc w:val="both"/>
              <w:textAlignment w:val="baseline"/>
              <w:rPr>
                <w:rFonts w:ascii="Calibri" w:hAnsi="Calibri" w:eastAsia="Arial" w:cs="Calibri"/>
                <w:color w:val="000000"/>
                <w:spacing w:val="5"/>
                <w:sz w:val="22"/>
                <w:szCs w:val="22"/>
                <w:lang w:eastAsia="de-DE"/>
              </w:rPr>
            </w:pPr>
            <w:r>
              <w:rPr>
                <w:rFonts w:eastAsia="Arial" w:cs="Calibri" w:ascii="Calibri" w:hAnsi="Calibri"/>
                <w:color w:val="000000"/>
                <w:spacing w:val="5"/>
                <w:sz w:val="22"/>
                <w:szCs w:val="22"/>
                <w:lang w:eastAsia="de-DE"/>
              </w:rPr>
              <w:t>Arsen, Blei, Cadmium, Nickel, Quecksilber, Kupfer,</w:t>
            </w:r>
            <w:r>
              <w:rPr>
                <w:rFonts w:eastAsia="Arial" w:cs="Calibri" w:ascii="Calibri" w:hAnsi="Calibri"/>
                <w:color w:val="000000"/>
                <w:spacing w:val="5"/>
                <w:sz w:val="22"/>
                <w:szCs w:val="22"/>
                <w:lang w:val="en-US" w:eastAsia="de-DE"/>
              </w:rPr>
              <w:t xml:space="preserve"> Thallium</w:t>
            </w:r>
            <w:r>
              <w:rPr>
                <w:rFonts w:eastAsia="Arial" w:cs="Calibri" w:ascii="Calibri" w:hAnsi="Calibri"/>
                <w:color w:val="000000"/>
                <w:spacing w:val="5"/>
                <w:sz w:val="22"/>
                <w:szCs w:val="22"/>
                <w:lang w:eastAsia="de-DE"/>
              </w:rPr>
              <w:t xml:space="preserve"> und Chrom</w:t>
            </w:r>
          </w:p>
          <w:p>
            <w:pPr>
              <w:pStyle w:val="Normal"/>
              <w:suppressAutoHyphens w:val="false"/>
              <w:spacing w:lineRule="exact" w:line="359"/>
              <w:ind w:left="1728" w:right="1152"/>
              <w:jc w:val="both"/>
              <w:textAlignment w:val="baseline"/>
              <w:rPr>
                <w:rFonts w:ascii="Calibri" w:hAnsi="Calibri" w:eastAsia="Arial" w:cs="Calibri"/>
                <w:color w:val="000000"/>
                <w:spacing w:val="4"/>
                <w:sz w:val="22"/>
                <w:szCs w:val="22"/>
                <w:lang w:eastAsia="de-DE"/>
              </w:rPr>
            </w:pPr>
            <w:r>
              <w:rPr>
                <w:rFonts w:eastAsia="Arial" w:cs="Calibri" w:ascii="Calibri" w:hAnsi="Calibri"/>
                <w:color w:val="000000"/>
                <w:spacing w:val="4"/>
                <w:sz w:val="22"/>
                <w:szCs w:val="22"/>
                <w:lang w:eastAsia="de-DE"/>
              </w:rPr>
              <w:t>Bestimmung der anorganischen Schadstoffe aus dem Königswasserextrakt nach DIN ISO 11466, 06/97, dem Ammoniumnitratextrakt nach DIN 19730, 06/97 und den in der BBodSchV im Anhang 1, Nummer 3.1.3, Tabelle 4 genannten Metho</w:t>
              <w:softHyphen/>
              <w:t>den.</w:t>
            </w:r>
          </w:p>
          <w:p>
            <w:pPr>
              <w:pStyle w:val="Normal"/>
              <w:numPr>
                <w:ilvl w:val="0"/>
                <w:numId w:val="20"/>
              </w:numPr>
              <w:tabs>
                <w:tab w:val="clear" w:pos="709"/>
                <w:tab w:val="left" w:pos="1728" w:leader="none"/>
              </w:tabs>
              <w:suppressAutoHyphens w:val="false"/>
              <w:spacing w:lineRule="exact" w:line="292" w:before="432" w:after="0"/>
              <w:ind w:hanging="360" w:left="360" w:right="113"/>
              <w:jc w:val="both"/>
              <w:textAlignment w:val="baseline"/>
              <w:rPr>
                <w:rFonts w:ascii="Calibri" w:hAnsi="Calibri" w:eastAsia="Arial" w:cs="Calibri"/>
                <w:color w:val="000000"/>
                <w:sz w:val="22"/>
                <w:szCs w:val="22"/>
                <w:lang w:eastAsia="de-DE"/>
              </w:rPr>
            </w:pPr>
            <w:r>
              <w:rPr>
                <w:rFonts w:eastAsia="Arial" w:cs="Calibri" w:ascii="Calibri" w:hAnsi="Calibri"/>
                <w:color w:val="000000"/>
                <w:sz w:val="22"/>
                <w:szCs w:val="22"/>
                <w:lang w:val="en-US" w:eastAsia="de-DE"/>
              </w:rPr>
              <w:t xml:space="preserve">Cyanide </w:t>
            </w:r>
          </w:p>
          <w:p>
            <w:pPr>
              <w:pStyle w:val="Normal"/>
              <w:suppressAutoHyphens w:val="false"/>
              <w:spacing w:lineRule="exact" w:line="265" w:before="96" w:after="0"/>
              <w:ind w:left="1728" w:right="113"/>
              <w:jc w:val="both"/>
              <w:textAlignment w:val="baseline"/>
              <w:rPr>
                <w:rFonts w:ascii="Calibri" w:hAnsi="Calibri" w:eastAsia="Arial" w:cs="Calibri"/>
                <w:color w:val="000000"/>
                <w:spacing w:val="5"/>
                <w:sz w:val="22"/>
                <w:szCs w:val="22"/>
                <w:lang w:eastAsia="de-DE"/>
              </w:rPr>
            </w:pPr>
            <w:r>
              <w:rPr>
                <w:rFonts w:eastAsia="Arial" w:cs="Calibri" w:ascii="Calibri" w:hAnsi="Calibri"/>
                <w:color w:val="000000"/>
                <w:spacing w:val="5"/>
                <w:sz w:val="22"/>
                <w:szCs w:val="22"/>
                <w:lang w:eastAsia="de-DE"/>
              </w:rPr>
              <w:t>Bestimmungen nach E DIN ISO 11262, 06/94</w:t>
            </w:r>
          </w:p>
          <w:p>
            <w:pPr>
              <w:pStyle w:val="Normal"/>
              <w:numPr>
                <w:ilvl w:val="0"/>
                <w:numId w:val="20"/>
              </w:numPr>
              <w:tabs>
                <w:tab w:val="clear" w:pos="709"/>
                <w:tab w:val="left" w:pos="1728" w:leader="none"/>
              </w:tabs>
              <w:suppressAutoHyphens w:val="false"/>
              <w:spacing w:lineRule="exact" w:line="288" w:before="430" w:after="0"/>
              <w:ind w:hanging="360" w:left="360" w:right="113"/>
              <w:jc w:val="both"/>
              <w:textAlignment w:val="baseline"/>
              <w:rPr>
                <w:rFonts w:ascii="Calibri" w:hAnsi="Calibri" w:eastAsia="Arial" w:cs="Calibri"/>
                <w:color w:val="000000"/>
                <w:spacing w:val="7"/>
                <w:sz w:val="22"/>
                <w:szCs w:val="22"/>
                <w:lang w:eastAsia="de-DE"/>
              </w:rPr>
            </w:pPr>
            <w:r>
              <w:rPr>
                <w:rFonts w:eastAsia="Arial" w:cs="Calibri" w:ascii="Calibri" w:hAnsi="Calibri"/>
                <w:color w:val="000000"/>
                <w:spacing w:val="7"/>
                <w:sz w:val="22"/>
                <w:szCs w:val="22"/>
                <w:lang w:eastAsia="de-DE"/>
              </w:rPr>
              <w:t>Aldrin, PAK [1-16], DDT, Hexachlorbenzol</w:t>
            </w:r>
          </w:p>
          <w:p>
            <w:pPr>
              <w:pStyle w:val="Normal"/>
              <w:suppressAutoHyphens w:val="false"/>
              <w:spacing w:lineRule="exact" w:line="359"/>
              <w:ind w:left="1728" w:right="1152"/>
              <w:jc w:val="both"/>
              <w:textAlignment w:val="baseline"/>
              <w:rPr>
                <w:rFonts w:ascii="Calibri" w:hAnsi="Calibri" w:eastAsia="Arial" w:cs="Calibri"/>
                <w:color w:val="000000"/>
                <w:sz w:val="22"/>
                <w:szCs w:val="22"/>
                <w:lang w:eastAsia="de-DE"/>
              </w:rPr>
            </w:pPr>
            <w:r>
              <w:rPr>
                <w:rFonts w:eastAsia="Arial" w:cs="Calibri" w:ascii="Calibri" w:hAnsi="Calibri"/>
                <w:color w:val="000000"/>
                <w:sz w:val="22"/>
                <w:szCs w:val="22"/>
                <w:lang w:eastAsia="de-DE"/>
              </w:rPr>
              <w:t>Bestimmung der organischen Schadstoffe mit den in der BBodSchV in Anhang 1, Nummer 3.1.3, Tabelle 5 der BBodSchV angegebenen Bodenextrakten und Me</w:t>
              <w:softHyphen/>
              <w:t>thoden.</w:t>
            </w:r>
          </w:p>
          <w:p>
            <w:pPr>
              <w:pStyle w:val="Normal"/>
              <w:suppressAutoHyphens w:val="false"/>
              <w:spacing w:lineRule="exact" w:line="262" w:before="196" w:after="0"/>
              <w:ind w:left="2232" w:right="113"/>
              <w:jc w:val="both"/>
              <w:textAlignment w:val="baseline"/>
              <w:rPr>
                <w:rFonts w:ascii="Calibri" w:hAnsi="Calibri" w:eastAsia="Arial" w:cs="Calibri"/>
                <w:color w:val="000000"/>
                <w:sz w:val="22"/>
                <w:szCs w:val="22"/>
                <w:lang w:eastAsia="de-DE"/>
              </w:rPr>
            </w:pPr>
            <w:r>
              <w:rPr>
                <w:rFonts w:eastAsia="Arial" w:cs="Calibri" w:ascii="Calibri" w:hAnsi="Calibri"/>
                <w:color w:val="000000"/>
                <w:sz w:val="22"/>
                <w:szCs w:val="22"/>
                <w:lang w:eastAsia="de-DE"/>
              </w:rPr>
              <w:t>(</w:t>
            </w:r>
          </w:p>
          <w:p>
            <w:pPr>
              <w:pStyle w:val="Normal"/>
              <w:suppressAutoHyphens w:val="false"/>
              <w:spacing w:lineRule="exact" w:line="311"/>
              <w:ind w:left="1296" w:right="1296"/>
              <w:jc w:val="both"/>
              <w:textAlignment w:val="baseline"/>
              <w:rPr>
                <w:rFonts w:ascii="Calibri" w:hAnsi="Calibri" w:eastAsia="Arial" w:cs="Calibri"/>
                <w:color w:val="000000"/>
                <w:sz w:val="22"/>
                <w:szCs w:val="22"/>
                <w:lang w:eastAsia="de-DE"/>
              </w:rPr>
            </w:pPr>
            <w:r>
              <w:rPr>
                <w:rFonts w:eastAsia="Arial" w:cs="Calibri" w:ascii="Calibri" w:hAnsi="Calibri"/>
                <w:color w:val="000000"/>
                <w:sz w:val="22"/>
                <w:szCs w:val="22"/>
                <w:lang w:eastAsia="de-DE"/>
              </w:rPr>
              <w:t>Die Untersuchungsergebnisse sind hinsichtlich der im Anhang 2 der BBodSchV genannten Wirkpfade „Boden-Mensch" und „Boden-Nutzpflanze" zu bewerten.</w:t>
            </w:r>
          </w:p>
          <w:p>
            <w:pPr>
              <w:pStyle w:val="Normal"/>
              <w:suppressAutoHyphens w:val="false"/>
              <w:spacing w:lineRule="exact" w:line="359" w:before="364" w:after="0"/>
              <w:ind w:left="1296" w:right="1224"/>
              <w:jc w:val="both"/>
              <w:textAlignment w:val="baseline"/>
              <w:rPr>
                <w:rFonts w:ascii="Calibri" w:hAnsi="Calibri" w:eastAsia="Arial" w:cs="Calibri"/>
                <w:color w:val="000000"/>
                <w:sz w:val="22"/>
                <w:szCs w:val="22"/>
                <w:lang w:eastAsia="de-DE"/>
              </w:rPr>
            </w:pPr>
            <w:r>
              <w:rPr>
                <w:rFonts w:eastAsia="Arial" w:cs="Calibri" w:ascii="Calibri" w:hAnsi="Calibri"/>
                <w:color w:val="000000"/>
                <w:sz w:val="22"/>
                <w:szCs w:val="22"/>
                <w:lang w:eastAsia="de-DE"/>
              </w:rPr>
              <w:t>Bezüglich des Parameters Kupfer ist ergänzend zu den in der BBodSchV genannten Prüfwerten für den Wirkpfad „Boden-Mensch" und „Boden-Nutzpflanze-Mensch" der Maßnahmenwert von 200 mg/kg</w:t>
            </w:r>
            <w:r>
              <w:rPr>
                <w:rFonts w:eastAsia="Arial" w:cs="Calibri" w:ascii="Calibri" w:hAnsi="Calibri"/>
                <w:color w:val="000000"/>
                <w:sz w:val="22"/>
                <w:szCs w:val="22"/>
                <w:lang w:val="en-US" w:eastAsia="de-DE"/>
              </w:rPr>
              <w:t xml:space="preserve"> TM</w:t>
            </w:r>
            <w:r>
              <w:rPr>
                <w:rFonts w:eastAsia="Arial" w:cs="Calibri" w:ascii="Calibri" w:hAnsi="Calibri"/>
                <w:color w:val="000000"/>
                <w:sz w:val="22"/>
                <w:szCs w:val="22"/>
                <w:lang w:eastAsia="de-DE"/>
              </w:rPr>
              <w:t xml:space="preserve"> (Königswasser-Extrakt) heranzuziehen.</w:t>
            </w:r>
          </w:p>
          <w:p>
            <w:pPr>
              <w:pStyle w:val="Normal"/>
              <w:suppressAutoHyphens w:val="false"/>
              <w:spacing w:lineRule="exact" w:line="359" w:before="357" w:after="0"/>
              <w:ind w:left="1296" w:right="1152"/>
              <w:jc w:val="both"/>
              <w:textAlignment w:val="baseline"/>
              <w:rPr>
                <w:rFonts w:ascii="Calibri" w:hAnsi="Calibri" w:eastAsia="Arial" w:cs="Calibri"/>
                <w:color w:val="000000"/>
                <w:sz w:val="22"/>
                <w:szCs w:val="22"/>
                <w:lang w:eastAsia="de-DE"/>
              </w:rPr>
            </w:pPr>
            <w:r>
              <w:rPr>
                <w:rFonts w:eastAsia="Arial" w:cs="Calibri" w:ascii="Calibri" w:hAnsi="Calibri"/>
                <w:color w:val="000000"/>
                <w:sz w:val="22"/>
                <w:szCs w:val="22"/>
                <w:lang w:eastAsia="de-DE"/>
              </w:rPr>
              <w:t>Liegen die Gesamtgehalte im Ober- und Unterboden jeweils unter den Prüf- und Vor</w:t>
              <w:softHyphen/>
              <w:t>sorgewerten sind keine weiteren Maßnahmen hinsichtlich des Kontaktes des Men</w:t>
              <w:softHyphen/>
              <w:t>schen mit dem Boden und hinsichtlich des Transfers Boden-Nahrungspflanze erfor</w:t>
              <w:softHyphen/>
              <w:t>derlich. Es gelten die weiter unten aufgeführten textlichen Festsetzungen.</w:t>
            </w:r>
          </w:p>
          <w:p>
            <w:pPr>
              <w:pStyle w:val="Normal"/>
              <w:suppressAutoHyphens w:val="false"/>
              <w:spacing w:lineRule="exact" w:line="360" w:before="357" w:after="1037"/>
              <w:ind w:left="1296" w:right="1296"/>
              <w:jc w:val="both"/>
              <w:textAlignment w:val="baseline"/>
              <w:rPr>
                <w:rFonts w:ascii="Calibri" w:hAnsi="Calibri" w:eastAsia="Arial" w:cs="Calibri"/>
                <w:color w:val="000000"/>
                <w:spacing w:val="3"/>
                <w:sz w:val="22"/>
                <w:szCs w:val="22"/>
                <w:lang w:eastAsia="de-DE"/>
              </w:rPr>
            </w:pPr>
            <w:r>
              <w:rPr>
                <w:rFonts w:eastAsia="Arial" w:cs="Calibri" w:ascii="Calibri" w:hAnsi="Calibri"/>
                <w:color w:val="000000"/>
                <w:spacing w:val="3"/>
                <w:sz w:val="22"/>
                <w:szCs w:val="22"/>
                <w:lang w:eastAsia="de-DE"/>
              </w:rPr>
              <w:t>Sollten bei Probenahmen Gehalte über den Prüf- und Vorsorgewerten angetroffen werden, ist unverzüglich die SGD Nord, Regionalstelle Wasserwirtschaft, Abfallwirt</w:t>
              <w:softHyphen/>
              <w:t>schaft, Bodenschutz Trier zu informieren und eine erneute Stellungnahme zu beziehen.</w:t>
            </w:r>
          </w:p>
          <w:p>
            <w:pPr>
              <w:pStyle w:val="Normal"/>
              <w:suppressAutoHyphens w:val="false"/>
              <w:spacing w:lineRule="exact" w:line="361" w:before="352" w:after="0"/>
              <w:ind w:left="72" w:right="792"/>
              <w:jc w:val="both"/>
              <w:textAlignment w:val="baseline"/>
              <w:rPr>
                <w:rFonts w:ascii="Calibri" w:hAnsi="Calibri" w:eastAsia="Arial" w:cs="Calibri"/>
                <w:color w:val="000000"/>
                <w:spacing w:val="3"/>
                <w:sz w:val="22"/>
                <w:szCs w:val="22"/>
                <w:lang w:eastAsia="de-DE"/>
              </w:rPr>
            </w:pPr>
            <w:r>
              <w:rPr>
                <w:rFonts w:eastAsia="Arial" w:cs="Calibri" w:ascii="Calibri" w:hAnsi="Calibri"/>
                <w:color w:val="000000"/>
                <w:spacing w:val="3"/>
                <w:sz w:val="22"/>
                <w:szCs w:val="22"/>
                <w:lang w:eastAsia="de-DE"/>
              </w:rPr>
              <w:t>Erhöhte Schadstoffgehalte können in künftigen Nutzgärten zu Gefahren hinsichtlich des Wirkpfades „Boden-Mensch" und „Boden-Nutzpflanze-Mensch" führen. Weiterhin ergeben sich aufgrund der bodenschutz- und abfallrechtlichen Bestimmungen bei er</w:t>
              <w:softHyphen/>
              <w:t>höhten Schadstoffgehalten Einschränkungen bei der Verwertung von Bodenaushub-massen.</w:t>
            </w:r>
          </w:p>
          <w:p>
            <w:pPr>
              <w:pStyle w:val="Normal"/>
              <w:suppressAutoHyphens w:val="false"/>
              <w:spacing w:lineRule="exact" w:line="361" w:before="337" w:after="686"/>
              <w:ind w:left="72" w:right="792"/>
              <w:jc w:val="both"/>
              <w:textAlignment w:val="baseline"/>
              <w:rPr>
                <w:rFonts w:ascii="Calibri" w:hAnsi="Calibri" w:eastAsia="Arial" w:cs="Calibri"/>
                <w:color w:val="000000"/>
                <w:sz w:val="22"/>
                <w:szCs w:val="22"/>
                <w:lang w:eastAsia="de-DE"/>
              </w:rPr>
            </w:pPr>
            <w:r>
              <w:rPr>
                <w:rFonts w:eastAsia="Arial" w:cs="Calibri" w:ascii="Calibri" w:hAnsi="Calibri"/>
                <w:color w:val="000000"/>
                <w:sz w:val="22"/>
                <w:szCs w:val="22"/>
                <w:lang w:eastAsia="de-DE"/>
              </w:rPr>
              <w:t>Aufgrund der weinbaulichen Vornutzung bestehen Anhaltspunkte für das Vorliegen ei</w:t>
              <w:softHyphen/>
              <w:t>ner schädlichen Bodenveränderung im Sinne des § 3 Abs. 2 Bundes-Bodenschutz-und Altlastenverordnung (BBodSchV). Daher rate ich an, orientierende Bodenuntersuchungen (mindestens 3 Stück) im Horizont 0 bis 30 cm im Plangebiet durchzuführen. Bei der Festlegung des Beprobungsrasters bzw. der erforderlichen Anzahl der Boden</w:t>
              <w:softHyphen/>
              <w:t>proben für den o.g. Horizont sind die diesbezüglichen Vorgaben des Anhangs 1, Num</w:t>
              <w:softHyphen/>
              <w:t>mer 2 der BBodSchV zu beachten. Die entnommenen Bodenproben sind auf folgende Parameter unter Beachtung der in der BBodSchV angegebenen Extraktionsverfahren und Methoden zu untersuchen:</w:t>
            </w:r>
          </w:p>
          <w:p>
            <w:pPr>
              <w:pStyle w:val="Normal"/>
              <w:numPr>
                <w:ilvl w:val="0"/>
                <w:numId w:val="20"/>
              </w:numPr>
              <w:tabs>
                <w:tab w:val="clear" w:pos="709"/>
                <w:tab w:val="left" w:pos="1728" w:leader="none"/>
              </w:tabs>
              <w:suppressAutoHyphens w:val="false"/>
              <w:spacing w:lineRule="exact" w:line="292" w:before="432" w:after="0"/>
              <w:ind w:hanging="360" w:left="360" w:right="113"/>
              <w:jc w:val="both"/>
              <w:textAlignment w:val="baseline"/>
              <w:rPr>
                <w:rFonts w:ascii="Calibri" w:hAnsi="Calibri" w:eastAsia="Arial" w:cs="Calibri"/>
                <w:color w:val="000000"/>
                <w:spacing w:val="5"/>
                <w:sz w:val="22"/>
                <w:szCs w:val="22"/>
                <w:lang w:eastAsia="de-DE"/>
              </w:rPr>
            </w:pPr>
            <w:r>
              <w:rPr>
                <w:rFonts w:eastAsia="Arial" w:cs="Calibri" w:ascii="Calibri" w:hAnsi="Calibri"/>
                <w:color w:val="000000"/>
                <w:spacing w:val="5"/>
                <w:sz w:val="22"/>
                <w:szCs w:val="22"/>
                <w:lang w:eastAsia="de-DE"/>
              </w:rPr>
              <w:t>Arsen, Blei, Cadmium, Nickel, Quecksilber, Kupfer,</w:t>
            </w:r>
            <w:r>
              <w:rPr>
                <w:rFonts w:eastAsia="Arial" w:cs="Calibri" w:ascii="Calibri" w:hAnsi="Calibri"/>
                <w:color w:val="000000"/>
                <w:spacing w:val="5"/>
                <w:sz w:val="22"/>
                <w:szCs w:val="22"/>
                <w:lang w:val="en-US" w:eastAsia="de-DE"/>
              </w:rPr>
              <w:t xml:space="preserve"> Thallium</w:t>
            </w:r>
            <w:r>
              <w:rPr>
                <w:rFonts w:eastAsia="Arial" w:cs="Calibri" w:ascii="Calibri" w:hAnsi="Calibri"/>
                <w:color w:val="000000"/>
                <w:spacing w:val="5"/>
                <w:sz w:val="22"/>
                <w:szCs w:val="22"/>
                <w:lang w:eastAsia="de-DE"/>
              </w:rPr>
              <w:t xml:space="preserve"> und Chrom</w:t>
            </w:r>
          </w:p>
          <w:p>
            <w:pPr>
              <w:pStyle w:val="Normal"/>
              <w:suppressAutoHyphens w:val="false"/>
              <w:spacing w:lineRule="exact" w:line="359"/>
              <w:ind w:left="1728" w:right="1152"/>
              <w:jc w:val="both"/>
              <w:textAlignment w:val="baseline"/>
              <w:rPr>
                <w:rFonts w:ascii="Calibri" w:hAnsi="Calibri" w:eastAsia="Arial" w:cs="Calibri"/>
                <w:color w:val="000000"/>
                <w:spacing w:val="4"/>
                <w:sz w:val="22"/>
                <w:szCs w:val="22"/>
                <w:lang w:eastAsia="de-DE"/>
              </w:rPr>
            </w:pPr>
            <w:r>
              <w:rPr>
                <w:rFonts w:eastAsia="Arial" w:cs="Calibri" w:ascii="Calibri" w:hAnsi="Calibri"/>
                <w:color w:val="000000"/>
                <w:spacing w:val="4"/>
                <w:sz w:val="22"/>
                <w:szCs w:val="22"/>
                <w:lang w:eastAsia="de-DE"/>
              </w:rPr>
              <w:t>Bestimmung der anorganischen Schadstoffe aus dem Königswasserextrakt nach DIN ISO 11466, 06/97, dem Ammoniumnitratextrakt nach DIN 19730, 06/97 und den in der BBodSchV im Anhang 1, Nummer 3.1.3, Tabelle 4 genannten Metho</w:t>
              <w:softHyphen/>
              <w:t>den.</w:t>
            </w:r>
          </w:p>
          <w:p>
            <w:pPr>
              <w:pStyle w:val="Normal"/>
              <w:numPr>
                <w:ilvl w:val="0"/>
                <w:numId w:val="20"/>
              </w:numPr>
              <w:tabs>
                <w:tab w:val="clear" w:pos="709"/>
                <w:tab w:val="left" w:pos="1728" w:leader="none"/>
              </w:tabs>
              <w:suppressAutoHyphens w:val="false"/>
              <w:spacing w:lineRule="exact" w:line="292" w:before="432" w:after="0"/>
              <w:ind w:hanging="360" w:left="360" w:right="113"/>
              <w:jc w:val="both"/>
              <w:textAlignment w:val="baseline"/>
              <w:rPr>
                <w:rFonts w:ascii="Calibri" w:hAnsi="Calibri" w:eastAsia="Arial" w:cs="Calibri"/>
                <w:color w:val="000000"/>
                <w:sz w:val="22"/>
                <w:szCs w:val="22"/>
                <w:lang w:eastAsia="de-DE"/>
              </w:rPr>
            </w:pPr>
            <w:r>
              <w:rPr>
                <w:rFonts w:eastAsia="Arial" w:cs="Calibri" w:ascii="Calibri" w:hAnsi="Calibri"/>
                <w:color w:val="000000"/>
                <w:sz w:val="22"/>
                <w:szCs w:val="22"/>
                <w:lang w:val="en-US" w:eastAsia="de-DE"/>
              </w:rPr>
              <w:t xml:space="preserve">Cyanide </w:t>
            </w:r>
          </w:p>
          <w:p>
            <w:pPr>
              <w:pStyle w:val="Normal"/>
              <w:suppressAutoHyphens w:val="false"/>
              <w:spacing w:lineRule="exact" w:line="265" w:before="96" w:after="0"/>
              <w:ind w:left="1728" w:right="113"/>
              <w:jc w:val="both"/>
              <w:textAlignment w:val="baseline"/>
              <w:rPr>
                <w:rFonts w:ascii="Calibri" w:hAnsi="Calibri" w:eastAsia="Arial" w:cs="Calibri"/>
                <w:color w:val="000000"/>
                <w:spacing w:val="5"/>
                <w:sz w:val="22"/>
                <w:szCs w:val="22"/>
                <w:lang w:eastAsia="de-DE"/>
              </w:rPr>
            </w:pPr>
            <w:r>
              <w:rPr>
                <w:rFonts w:eastAsia="Arial" w:cs="Calibri" w:ascii="Calibri" w:hAnsi="Calibri"/>
                <w:color w:val="000000"/>
                <w:spacing w:val="5"/>
                <w:sz w:val="22"/>
                <w:szCs w:val="22"/>
                <w:lang w:eastAsia="de-DE"/>
              </w:rPr>
              <w:t>Bestimmungen nach E DIN ISO 11262, 06/94</w:t>
            </w:r>
          </w:p>
          <w:p>
            <w:pPr>
              <w:pStyle w:val="Normal"/>
              <w:numPr>
                <w:ilvl w:val="0"/>
                <w:numId w:val="20"/>
              </w:numPr>
              <w:tabs>
                <w:tab w:val="clear" w:pos="709"/>
                <w:tab w:val="left" w:pos="1728" w:leader="none"/>
              </w:tabs>
              <w:suppressAutoHyphens w:val="false"/>
              <w:spacing w:lineRule="exact" w:line="288" w:before="430" w:after="0"/>
              <w:ind w:hanging="360" w:left="360" w:right="113"/>
              <w:jc w:val="both"/>
              <w:textAlignment w:val="baseline"/>
              <w:rPr>
                <w:rFonts w:ascii="Calibri" w:hAnsi="Calibri" w:eastAsia="Arial" w:cs="Calibri"/>
                <w:color w:val="000000"/>
                <w:spacing w:val="7"/>
                <w:sz w:val="22"/>
                <w:szCs w:val="22"/>
                <w:lang w:eastAsia="de-DE"/>
              </w:rPr>
            </w:pPr>
            <w:r>
              <w:rPr>
                <w:rFonts w:eastAsia="Arial" w:cs="Calibri" w:ascii="Calibri" w:hAnsi="Calibri"/>
                <w:color w:val="000000"/>
                <w:spacing w:val="7"/>
                <w:sz w:val="22"/>
                <w:szCs w:val="22"/>
                <w:lang w:eastAsia="de-DE"/>
              </w:rPr>
              <w:t>Aldrin, PAK [1-16], DDT, Hexachlorbenzol</w:t>
            </w:r>
          </w:p>
          <w:p>
            <w:pPr>
              <w:pStyle w:val="Normal"/>
              <w:suppressAutoHyphens w:val="false"/>
              <w:spacing w:lineRule="exact" w:line="359"/>
              <w:ind w:left="1728" w:right="1152"/>
              <w:jc w:val="both"/>
              <w:textAlignment w:val="baseline"/>
              <w:rPr>
                <w:rFonts w:ascii="Calibri" w:hAnsi="Calibri" w:eastAsia="Arial" w:cs="Calibri"/>
                <w:color w:val="000000"/>
                <w:sz w:val="22"/>
                <w:szCs w:val="22"/>
                <w:lang w:eastAsia="de-DE"/>
              </w:rPr>
            </w:pPr>
            <w:r>
              <w:rPr>
                <w:rFonts w:eastAsia="Arial" w:cs="Calibri" w:ascii="Calibri" w:hAnsi="Calibri"/>
                <w:color w:val="000000"/>
                <w:sz w:val="22"/>
                <w:szCs w:val="22"/>
                <w:lang w:eastAsia="de-DE"/>
              </w:rPr>
              <w:t>Bestimmung der organischen Schadstoffe mit den in der BBodSchV in Anhang 1, Nummer 3.1.3, Tabelle 5 der BBodSchV angegebenen Bodenextrakten und Me</w:t>
              <w:softHyphen/>
              <w:t>thoden.</w:t>
            </w:r>
          </w:p>
          <w:p>
            <w:pPr>
              <w:pStyle w:val="Normal"/>
              <w:suppressAutoHyphens w:val="false"/>
              <w:spacing w:lineRule="exact" w:line="262" w:before="196" w:after="0"/>
              <w:ind w:left="2232" w:right="113"/>
              <w:jc w:val="both"/>
              <w:textAlignment w:val="baseline"/>
              <w:rPr>
                <w:rFonts w:ascii="Calibri" w:hAnsi="Calibri" w:eastAsia="Arial" w:cs="Calibri"/>
                <w:color w:val="000000"/>
                <w:sz w:val="22"/>
                <w:szCs w:val="22"/>
                <w:lang w:eastAsia="de-DE"/>
              </w:rPr>
            </w:pPr>
            <w:r>
              <w:rPr>
                <w:rFonts w:eastAsia="Arial" w:cs="Calibri" w:ascii="Calibri" w:hAnsi="Calibri"/>
                <w:color w:val="000000"/>
                <w:sz w:val="22"/>
                <w:szCs w:val="22"/>
                <w:lang w:eastAsia="de-DE"/>
              </w:rPr>
              <w:t>(</w:t>
            </w:r>
          </w:p>
          <w:p>
            <w:pPr>
              <w:pStyle w:val="Normal"/>
              <w:suppressAutoHyphens w:val="false"/>
              <w:spacing w:lineRule="exact" w:line="311"/>
              <w:ind w:left="1296" w:right="1296"/>
              <w:jc w:val="both"/>
              <w:textAlignment w:val="baseline"/>
              <w:rPr>
                <w:rFonts w:ascii="Calibri" w:hAnsi="Calibri" w:eastAsia="Arial" w:cs="Calibri"/>
                <w:color w:val="000000"/>
                <w:sz w:val="22"/>
                <w:szCs w:val="22"/>
                <w:lang w:eastAsia="de-DE"/>
              </w:rPr>
            </w:pPr>
            <w:r>
              <w:rPr>
                <w:rFonts w:eastAsia="Arial" w:cs="Calibri" w:ascii="Calibri" w:hAnsi="Calibri"/>
                <w:color w:val="000000"/>
                <w:sz w:val="22"/>
                <w:szCs w:val="22"/>
                <w:lang w:eastAsia="de-DE"/>
              </w:rPr>
              <w:t>Die Untersuchungsergebnisse sind hinsichtlich der im Anhang 2 der BBodSchV ge</w:t>
              <w:softHyphen/>
              <w:t>nannten Wirkpfade „Boden-Mensch" und „Boden-Nutzpflanze" zu bewerten.</w:t>
            </w:r>
          </w:p>
          <w:p>
            <w:pPr>
              <w:pStyle w:val="Normal"/>
              <w:suppressAutoHyphens w:val="false"/>
              <w:spacing w:lineRule="exact" w:line="359" w:before="364" w:after="0"/>
              <w:ind w:left="1296" w:right="1224"/>
              <w:jc w:val="both"/>
              <w:textAlignment w:val="baseline"/>
              <w:rPr>
                <w:rFonts w:ascii="Calibri" w:hAnsi="Calibri" w:eastAsia="Arial" w:cs="Calibri"/>
                <w:color w:val="000000"/>
                <w:sz w:val="22"/>
                <w:szCs w:val="22"/>
                <w:lang w:eastAsia="de-DE"/>
              </w:rPr>
            </w:pPr>
            <w:r>
              <w:rPr>
                <w:rFonts w:eastAsia="Arial" w:cs="Calibri" w:ascii="Calibri" w:hAnsi="Calibri"/>
                <w:color w:val="000000"/>
                <w:sz w:val="22"/>
                <w:szCs w:val="22"/>
                <w:lang w:eastAsia="de-DE"/>
              </w:rPr>
              <w:t>Bezüglich des Parameters Kupfer ist ergänzend zu den in der BBodSchV genannten Prüfwerten für den Wirkpfad „Boden-Mensch" und „Boden-Nutzpflanze-Mensch" der Maßnahmenwert von 200 mg/kg</w:t>
            </w:r>
            <w:r>
              <w:rPr>
                <w:rFonts w:eastAsia="Arial" w:cs="Calibri" w:ascii="Calibri" w:hAnsi="Calibri"/>
                <w:color w:val="000000"/>
                <w:sz w:val="22"/>
                <w:szCs w:val="22"/>
                <w:lang w:val="en-US" w:eastAsia="de-DE"/>
              </w:rPr>
              <w:t xml:space="preserve"> TM</w:t>
            </w:r>
            <w:r>
              <w:rPr>
                <w:rFonts w:eastAsia="Arial" w:cs="Calibri" w:ascii="Calibri" w:hAnsi="Calibri"/>
                <w:color w:val="000000"/>
                <w:sz w:val="22"/>
                <w:szCs w:val="22"/>
                <w:lang w:eastAsia="de-DE"/>
              </w:rPr>
              <w:t xml:space="preserve"> (Königswasser-Extrakt) heranzuziehen.</w:t>
            </w:r>
          </w:p>
          <w:p>
            <w:pPr>
              <w:pStyle w:val="Normal"/>
              <w:suppressAutoHyphens w:val="false"/>
              <w:spacing w:lineRule="exact" w:line="359" w:before="357" w:after="0"/>
              <w:ind w:left="1296" w:right="1152"/>
              <w:jc w:val="both"/>
              <w:textAlignment w:val="baseline"/>
              <w:rPr>
                <w:rFonts w:ascii="Calibri" w:hAnsi="Calibri" w:eastAsia="Arial" w:cs="Calibri"/>
                <w:color w:val="000000"/>
                <w:sz w:val="22"/>
                <w:szCs w:val="22"/>
                <w:lang w:eastAsia="de-DE"/>
              </w:rPr>
            </w:pPr>
            <w:r>
              <w:rPr>
                <w:rFonts w:eastAsia="Arial" w:cs="Calibri" w:ascii="Calibri" w:hAnsi="Calibri"/>
                <w:color w:val="000000"/>
                <w:sz w:val="22"/>
                <w:szCs w:val="22"/>
                <w:lang w:eastAsia="de-DE"/>
              </w:rPr>
              <w:t>Liegen die Gesamtgehalte im Ober- und Unterboden jeweils unter den Prüf- und Vor</w:t>
              <w:softHyphen/>
              <w:t>sorgewerten sind keine weiteren Maßnahmen hinsichtlich des Kontaktes des Men</w:t>
              <w:softHyphen/>
              <w:t>schen mit dem Boden und hinsichtlich des Transfers Boden-Nahrungspflanze erfor</w:t>
              <w:softHyphen/>
              <w:t>derlich. Es gelten die weiter unten aufgeführten textlichen Festsetzungen.</w:t>
            </w:r>
          </w:p>
          <w:p>
            <w:pPr>
              <w:pStyle w:val="Normal"/>
              <w:suppressAutoHyphens w:val="false"/>
              <w:spacing w:lineRule="exact" w:line="360" w:before="357" w:after="1037"/>
              <w:ind w:left="1296" w:right="1296"/>
              <w:jc w:val="both"/>
              <w:textAlignment w:val="baseline"/>
              <w:rPr>
                <w:rFonts w:ascii="Calibri" w:hAnsi="Calibri" w:eastAsia="Arial" w:cs="Calibri"/>
                <w:color w:val="000000"/>
                <w:spacing w:val="3"/>
                <w:sz w:val="22"/>
                <w:szCs w:val="22"/>
                <w:lang w:eastAsia="de-DE"/>
              </w:rPr>
            </w:pPr>
            <w:r>
              <w:rPr>
                <w:rFonts w:eastAsia="Arial" w:cs="Calibri" w:ascii="Calibri" w:hAnsi="Calibri"/>
                <w:color w:val="000000"/>
                <w:spacing w:val="3"/>
                <w:sz w:val="22"/>
                <w:szCs w:val="22"/>
                <w:lang w:eastAsia="de-DE"/>
              </w:rPr>
              <w:t>Sollten bei Probenahmen Gehalte über den Prüf- und Vorsorgewerten angetroffen werden, ist unverzüglich die SGD Nord, Regionalstelle Wasserwirtschaft, Abfallwirt</w:t>
              <w:softHyphen/>
              <w:t>schaft, Bodenschutz Trier zu informieren und eine erneute Stellungnahme zu bezie</w:t>
              <w:softHyphen/>
              <w:t>hen.</w:t>
            </w:r>
          </w:p>
          <w:p>
            <w:pPr>
              <w:pStyle w:val="Normal"/>
              <w:suppressAutoHyphens w:val="false"/>
              <w:spacing w:lineRule="exact" w:line="360"/>
              <w:ind w:left="1296" w:right="1152"/>
              <w:jc w:val="both"/>
              <w:textAlignment w:val="baseline"/>
              <w:rPr>
                <w:rFonts w:ascii="Calibri" w:hAnsi="Calibri" w:eastAsia="Arial" w:cs="Calibri"/>
                <w:color w:val="000000"/>
                <w:spacing w:val="6"/>
                <w:sz w:val="22"/>
                <w:szCs w:val="22"/>
                <w:lang w:eastAsia="de-DE"/>
              </w:rPr>
            </w:pPr>
            <w:r>
              <w:rPr>
                <w:rFonts w:eastAsia="Arial" w:cs="Calibri" w:ascii="Calibri" w:hAnsi="Calibri"/>
                <w:color w:val="000000"/>
                <w:spacing w:val="6"/>
                <w:sz w:val="22"/>
                <w:szCs w:val="22"/>
                <w:lang w:eastAsia="de-DE"/>
              </w:rPr>
              <w:t>Weitere Informationen bzgl. der Berücksichtigung von Kupfer in Weinbergsböden bei der Bauleitplanung und im Baugenehmigungsverfahren können der auf der Internet-seite des Ministeriums für Klimaschutz, Umwelt, Energie und Mobilität veröffentlichten Nachricht des Gemeinde- und Städtebundes (GStB-Nachricht Nr. 0094 vom 26.04.2013, Az.: 610-11,611-17,672-10 RB/sr) und den dazugehörigen Anlagen (LUFA Stellungnahme.pdf, Stellungnahme Landesamt.pdf und Erlass FM 2002.pdf) entnommen werden:</w:t>
            </w:r>
          </w:p>
          <w:p>
            <w:pPr>
              <w:pStyle w:val="Normal"/>
              <w:suppressAutoHyphens w:val="false"/>
              <w:spacing w:lineRule="exact" w:line="267" w:before="450" w:after="0"/>
              <w:ind w:left="1296" w:right="113"/>
              <w:jc w:val="both"/>
              <w:textAlignment w:val="baseline"/>
              <w:rPr>
                <w:rFonts w:ascii="Calibri" w:hAnsi="Calibri" w:eastAsia="Arial" w:cs="Calibri"/>
                <w:color w:val="000000"/>
                <w:spacing w:val="4"/>
                <w:sz w:val="22"/>
                <w:szCs w:val="22"/>
                <w:lang w:eastAsia="de-DE"/>
              </w:rPr>
            </w:pPr>
            <w:r>
              <w:rPr>
                <w:rFonts w:eastAsia="Arial" w:cs="Calibri" w:ascii="Calibri" w:hAnsi="Calibri"/>
                <w:color w:val="000000"/>
                <w:spacing w:val="4"/>
                <w:sz w:val="22"/>
                <w:szCs w:val="22"/>
                <w:lang w:eastAsia="de-DE"/>
              </w:rPr>
              <w:t xml:space="preserve">Startseite MKUEM </w:t>
            </w:r>
            <w:r>
              <w:rPr>
                <w:rFonts w:eastAsia="Arial" w:cs="Calibri" w:ascii="Calibri" w:hAnsi="Calibri"/>
                <w:color w:val="000000"/>
                <w:spacing w:val="4"/>
                <w:sz w:val="22"/>
                <w:szCs w:val="22"/>
                <w:u w:val="single"/>
                <w:lang w:eastAsia="de-DE"/>
              </w:rPr>
              <w:t>(</w:t>
            </w:r>
            <w:hyperlink r:id="rId7">
              <w:r>
                <w:rPr>
                  <w:rFonts w:eastAsia="Arial" w:cs="Calibri" w:ascii="Calibri" w:hAnsi="Calibri"/>
                  <w:color w:val="0000FF"/>
                  <w:spacing w:val="4"/>
                  <w:sz w:val="22"/>
                  <w:szCs w:val="22"/>
                  <w:u w:val="single"/>
                  <w:lang w:eastAsia="de-DE"/>
                </w:rPr>
                <w:t>https://mkuem.rlp.de/):</w:t>
              </w:r>
            </w:hyperlink>
            <w:r>
              <w:rPr>
                <w:rFonts w:eastAsia="Arial" w:cs="Calibri" w:ascii="Calibri" w:hAnsi="Calibri"/>
                <w:color w:val="000000"/>
                <w:spacing w:val="4"/>
                <w:sz w:val="22"/>
                <w:szCs w:val="22"/>
                <w:lang w:eastAsia="de-DE"/>
              </w:rPr>
              <w:t xml:space="preserve"> </w:t>
            </w:r>
          </w:p>
          <w:p>
            <w:pPr>
              <w:pStyle w:val="Normal"/>
              <w:numPr>
                <w:ilvl w:val="0"/>
                <w:numId w:val="21"/>
              </w:numPr>
              <w:tabs>
                <w:tab w:val="clear" w:pos="709"/>
                <w:tab w:val="left" w:pos="1656" w:leader="none"/>
              </w:tabs>
              <w:suppressAutoHyphens w:val="false"/>
              <w:spacing w:lineRule="exact" w:line="250" w:before="112" w:after="0"/>
              <w:ind w:hanging="360" w:left="360" w:right="113"/>
              <w:jc w:val="both"/>
              <w:textAlignment w:val="baseline"/>
              <w:rPr>
                <w:rFonts w:ascii="Calibri" w:hAnsi="Calibri" w:eastAsia="Arial" w:cs="Calibri"/>
                <w:color w:val="000000"/>
                <w:spacing w:val="-1"/>
                <w:sz w:val="22"/>
                <w:szCs w:val="22"/>
                <w:lang w:eastAsia="de-DE"/>
              </w:rPr>
            </w:pPr>
            <w:r>
              <w:rPr>
                <w:rFonts w:eastAsia="Arial" w:cs="Calibri" w:ascii="Calibri" w:hAnsi="Calibri"/>
                <w:color w:val="000000"/>
                <w:spacing w:val="-1"/>
                <w:sz w:val="22"/>
                <w:szCs w:val="22"/>
                <w:lang w:eastAsia="de-DE"/>
              </w:rPr>
              <w:t>Themen</w:t>
            </w:r>
          </w:p>
          <w:p>
            <w:pPr>
              <w:pStyle w:val="Normal"/>
              <w:numPr>
                <w:ilvl w:val="0"/>
                <w:numId w:val="21"/>
              </w:numPr>
              <w:tabs>
                <w:tab w:val="clear" w:pos="709"/>
                <w:tab w:val="left" w:pos="1656" w:leader="none"/>
              </w:tabs>
              <w:suppressAutoHyphens w:val="false"/>
              <w:spacing w:lineRule="exact" w:line="250" w:before="111" w:after="0"/>
              <w:ind w:hanging="360" w:left="360" w:right="113"/>
              <w:jc w:val="both"/>
              <w:textAlignment w:val="baseline"/>
              <w:rPr>
                <w:rFonts w:ascii="Calibri" w:hAnsi="Calibri" w:eastAsia="Arial" w:cs="Calibri"/>
                <w:color w:val="000000"/>
                <w:sz w:val="22"/>
                <w:szCs w:val="22"/>
                <w:lang w:eastAsia="de-DE"/>
              </w:rPr>
            </w:pPr>
            <w:r>
              <w:rPr>
                <w:rFonts w:eastAsia="Arial" w:cs="Calibri" w:ascii="Calibri" w:hAnsi="Calibri"/>
                <w:color w:val="000000"/>
                <w:sz w:val="22"/>
                <w:szCs w:val="22"/>
                <w:lang w:eastAsia="de-DE"/>
              </w:rPr>
              <w:t>Klima- und Ressourcenschutz</w:t>
            </w:r>
          </w:p>
          <w:p>
            <w:pPr>
              <w:pStyle w:val="Normal"/>
              <w:numPr>
                <w:ilvl w:val="0"/>
                <w:numId w:val="21"/>
              </w:numPr>
              <w:tabs>
                <w:tab w:val="clear" w:pos="709"/>
                <w:tab w:val="left" w:pos="1656" w:leader="none"/>
              </w:tabs>
              <w:suppressAutoHyphens w:val="false"/>
              <w:spacing w:lineRule="exact" w:line="250" w:before="110" w:after="0"/>
              <w:ind w:hanging="360" w:left="360" w:right="113"/>
              <w:jc w:val="both"/>
              <w:textAlignment w:val="baseline"/>
              <w:rPr>
                <w:rFonts w:ascii="Calibri" w:hAnsi="Calibri" w:eastAsia="Arial" w:cs="Calibri"/>
                <w:color w:val="000000"/>
                <w:sz w:val="22"/>
                <w:szCs w:val="22"/>
                <w:lang w:eastAsia="de-DE"/>
              </w:rPr>
            </w:pPr>
            <w:r>
              <w:rPr>
                <w:rFonts w:eastAsia="Arial" w:cs="Calibri" w:ascii="Calibri" w:hAnsi="Calibri"/>
                <w:color w:val="000000"/>
                <w:sz w:val="22"/>
                <w:szCs w:val="22"/>
                <w:lang w:eastAsia="de-DE"/>
              </w:rPr>
              <w:t>Bodenschutz</w:t>
            </w:r>
          </w:p>
          <w:p>
            <w:pPr>
              <w:pStyle w:val="Normal"/>
              <w:numPr>
                <w:ilvl w:val="0"/>
                <w:numId w:val="21"/>
              </w:numPr>
              <w:tabs>
                <w:tab w:val="clear" w:pos="709"/>
                <w:tab w:val="left" w:pos="1656" w:leader="none"/>
              </w:tabs>
              <w:suppressAutoHyphens w:val="false"/>
              <w:spacing w:lineRule="exact" w:line="250" w:before="109" w:after="0"/>
              <w:ind w:hanging="360" w:left="360" w:right="113"/>
              <w:jc w:val="both"/>
              <w:textAlignment w:val="baseline"/>
              <w:rPr>
                <w:rFonts w:ascii="Calibri" w:hAnsi="Calibri" w:eastAsia="Arial" w:cs="Calibri"/>
                <w:color w:val="000000"/>
                <w:sz w:val="22"/>
                <w:szCs w:val="22"/>
                <w:lang w:eastAsia="de-DE"/>
              </w:rPr>
            </w:pPr>
            <w:r>
              <w:rPr>
                <w:rFonts w:eastAsia="Arial" w:cs="Calibri" w:ascii="Calibri" w:hAnsi="Calibri"/>
                <w:color w:val="000000"/>
                <w:sz w:val="22"/>
                <w:szCs w:val="22"/>
                <w:lang w:eastAsia="de-DE"/>
              </w:rPr>
              <w:t>Rundschreiben und Arbeitshilfen</w:t>
            </w:r>
          </w:p>
          <w:p>
            <w:pPr>
              <w:pStyle w:val="Normal"/>
              <w:numPr>
                <w:ilvl w:val="0"/>
                <w:numId w:val="21"/>
              </w:numPr>
              <w:tabs>
                <w:tab w:val="clear" w:pos="709"/>
                <w:tab w:val="left" w:pos="1656" w:leader="none"/>
              </w:tabs>
              <w:suppressAutoHyphens w:val="false"/>
              <w:spacing w:lineRule="exact" w:line="250" w:before="108" w:after="0"/>
              <w:ind w:hanging="360" w:left="360" w:right="113"/>
              <w:jc w:val="both"/>
              <w:textAlignment w:val="baseline"/>
              <w:rPr>
                <w:rFonts w:ascii="Calibri" w:hAnsi="Calibri" w:eastAsia="Arial" w:cs="Calibri"/>
                <w:color w:val="000000"/>
                <w:spacing w:val="4"/>
                <w:sz w:val="22"/>
                <w:szCs w:val="22"/>
                <w:lang w:eastAsia="de-DE"/>
              </w:rPr>
            </w:pPr>
            <w:r>
              <w:rPr>
                <w:rFonts w:eastAsia="Arial" w:cs="Calibri" w:ascii="Calibri" w:hAnsi="Calibri"/>
                <w:color w:val="000000"/>
                <w:spacing w:val="4"/>
                <w:sz w:val="22"/>
                <w:szCs w:val="22"/>
                <w:lang w:eastAsia="de-DE"/>
              </w:rPr>
              <w:t>Rundschreiben für den Bodenschutzvollzug</w:t>
            </w:r>
          </w:p>
          <w:p>
            <w:pPr>
              <w:pStyle w:val="Normal"/>
              <w:numPr>
                <w:ilvl w:val="0"/>
                <w:numId w:val="21"/>
              </w:numPr>
              <w:tabs>
                <w:tab w:val="clear" w:pos="709"/>
                <w:tab w:val="left" w:pos="1656" w:leader="none"/>
              </w:tabs>
              <w:suppressAutoHyphens w:val="false"/>
              <w:spacing w:lineRule="exact" w:line="360"/>
              <w:ind w:hanging="360" w:left="360" w:right="1296"/>
              <w:jc w:val="both"/>
              <w:textAlignment w:val="baseline"/>
              <w:rPr>
                <w:rFonts w:ascii="Calibri" w:hAnsi="Calibri" w:eastAsia="Arial" w:cs="Calibri"/>
                <w:color w:val="000000"/>
                <w:sz w:val="22"/>
                <w:szCs w:val="22"/>
                <w:lang w:eastAsia="de-DE"/>
              </w:rPr>
            </w:pPr>
            <w:r>
              <w:rPr>
                <w:rFonts w:eastAsia="Arial" w:cs="Calibri" w:ascii="Calibri" w:hAnsi="Calibri"/>
                <w:color w:val="000000"/>
                <w:sz w:val="22"/>
                <w:szCs w:val="22"/>
                <w:lang w:eastAsia="de-DE"/>
              </w:rPr>
              <w:t>2013 - Kupfer in Weinbergsböden — Berücksichtigung bei der Bauleitplanung und in Baugenehmigungsverfahren</w:t>
            </w:r>
          </w:p>
          <w:p>
            <w:pPr>
              <w:pStyle w:val="Normal"/>
              <w:suppressAutoHyphens w:val="false"/>
              <w:spacing w:lineRule="exact" w:line="267" w:before="451" w:after="0"/>
              <w:ind w:left="1296" w:right="113"/>
              <w:jc w:val="both"/>
              <w:textAlignment w:val="baseline"/>
              <w:rPr>
                <w:rFonts w:ascii="Calibri" w:hAnsi="Calibri" w:eastAsia="Arial" w:cs="Calibri"/>
                <w:color w:val="000000"/>
                <w:sz w:val="22"/>
                <w:szCs w:val="22"/>
                <w:lang w:eastAsia="de-DE"/>
              </w:rPr>
            </w:pPr>
            <w:r>
              <w:rPr>
                <w:rFonts w:eastAsia="Arial" w:cs="Calibri" w:ascii="Calibri" w:hAnsi="Calibri"/>
                <w:color w:val="000000"/>
                <w:sz w:val="22"/>
                <w:szCs w:val="22"/>
                <w:lang w:eastAsia="de-DE"/>
              </w:rPr>
              <w:t>Textliche Festsetzungen</w:t>
            </w:r>
          </w:p>
          <w:p>
            <w:pPr>
              <w:pStyle w:val="Normal"/>
              <w:suppressAutoHyphens w:val="false"/>
              <w:spacing w:lineRule="exact" w:line="362" w:before="348" w:after="0"/>
              <w:ind w:hanging="360" w:left="1656" w:right="1152"/>
              <w:jc w:val="both"/>
              <w:textAlignment w:val="baseline"/>
              <w:rPr>
                <w:rFonts w:ascii="Calibri" w:hAnsi="Calibri" w:eastAsia="Arial" w:cs="Calibri"/>
                <w:color w:val="000000"/>
                <w:sz w:val="22"/>
                <w:szCs w:val="22"/>
                <w:lang w:eastAsia="de-DE"/>
              </w:rPr>
            </w:pPr>
            <w:r>
              <w:rPr>
                <w:rFonts w:eastAsia="Arial" w:cs="Calibri" w:ascii="Calibri" w:hAnsi="Calibri"/>
                <w:color w:val="000000"/>
                <w:sz w:val="22"/>
                <w:szCs w:val="22"/>
                <w:lang w:eastAsia="de-DE"/>
              </w:rPr>
              <w:t>1. Für den Bereich des Bebauungsplans sind keine Altablagerungen, Rüstungsalt-standorte, militärische Altstandorte oder gewerblich-industrielle Altstandorte im Bo-deninformationssystem/Bodenschutzkataster (BISBoKat) kartiert.</w:t>
            </w:r>
          </w:p>
          <w:p>
            <w:pPr>
              <w:pStyle w:val="Normal"/>
              <w:suppressAutoHyphens w:val="false"/>
              <w:spacing w:lineRule="exact" w:line="362" w:before="347" w:after="0"/>
              <w:ind w:hanging="360" w:left="1656" w:right="1152"/>
              <w:jc w:val="both"/>
              <w:textAlignment w:val="baseline"/>
              <w:rPr>
                <w:rFonts w:ascii="Calibri" w:hAnsi="Calibri" w:eastAsia="Arial" w:cs="Calibri"/>
                <w:color w:val="000000"/>
                <w:spacing w:val="4"/>
                <w:sz w:val="22"/>
                <w:szCs w:val="22"/>
                <w:lang w:eastAsia="de-DE"/>
              </w:rPr>
            </w:pPr>
            <w:r>
              <w:rPr>
                <w:rFonts w:eastAsia="Arial" w:cs="Calibri" w:ascii="Calibri" w:hAnsi="Calibri"/>
                <w:color w:val="000000"/>
                <w:spacing w:val="4"/>
                <w:sz w:val="22"/>
                <w:szCs w:val="22"/>
                <w:lang w:eastAsia="de-DE"/>
              </w:rPr>
              <w:t>2 Das Vorhandensein nicht registrierter Altablagerungen, Rüstungsaltstandorte, mili</w:t>
              <w:softHyphen/>
              <w:t>tärischer Altstandorte und gewerblich-industrieller Altstandorte sowie das Auftreten von Auswertungsfehlern oder Abweichungen (z. B. aufgrund zwischenzeitlich ge</w:t>
              <w:softHyphen/>
              <w:t>änderter Flurbezeichnungen) kann nicht ausgeschlossen werden. Die Überprüfung der SGD Nord beinhaltete lediglich die in dem jeweiligen Kataster erfassten Flä</w:t>
              <w:softHyphen/>
              <w:t>chen.</w:t>
            </w:r>
          </w:p>
          <w:p>
            <w:pPr>
              <w:pStyle w:val="Normal"/>
              <w:suppressAutoHyphens w:val="false"/>
              <w:spacing w:lineRule="exact" w:line="362" w:before="343" w:after="681"/>
              <w:ind w:hanging="360" w:left="1656" w:right="1152"/>
              <w:jc w:val="both"/>
              <w:textAlignment w:val="baseline"/>
              <w:rPr>
                <w:rFonts w:ascii="Calibri" w:hAnsi="Calibri" w:eastAsia="Arial" w:cs="Calibri"/>
                <w:color w:val="000000"/>
                <w:sz w:val="22"/>
                <w:szCs w:val="22"/>
                <w:lang w:eastAsia="de-DE"/>
              </w:rPr>
            </w:pPr>
            <w:r>
              <w:rPr>
                <w:rFonts w:eastAsia="Arial" w:cs="Calibri" w:ascii="Calibri" w:hAnsi="Calibri"/>
                <w:color w:val="000000"/>
                <w:sz w:val="22"/>
                <w:szCs w:val="22"/>
                <w:lang w:eastAsia="de-DE"/>
              </w:rPr>
              <w:t>3. Sollten bei Baumaßnahmen Abfälle (z. B. Bauschutt, Hausmüll</w:t>
            </w:r>
            <w:r>
              <w:rPr>
                <w:rFonts w:eastAsia="Arial" w:cs="Calibri" w:ascii="Calibri" w:hAnsi="Calibri"/>
                <w:color w:val="000000"/>
                <w:sz w:val="22"/>
                <w:szCs w:val="22"/>
                <w:lang w:val="en-US" w:eastAsia="de-DE"/>
              </w:rPr>
              <w:t xml:space="preserve"> etc.)</w:t>
            </w:r>
            <w:r>
              <w:rPr>
                <w:rFonts w:eastAsia="Arial" w:cs="Calibri" w:ascii="Calibri" w:hAnsi="Calibri"/>
                <w:color w:val="000000"/>
                <w:sz w:val="22"/>
                <w:szCs w:val="22"/>
                <w:lang w:eastAsia="de-DE"/>
              </w:rPr>
              <w:t xml:space="preserve"> angetroffen werden oder sich sonstige Hinweise (z. B. geruchliche/visuelle Auffälligkeiten) er</w:t>
              <w:softHyphen/>
              <w:t>geben, ist die SGD Nord, Regionalstelle Wasserwirtschaft, Abfallwirtschaft, Boden</w:t>
              <w:softHyphen/>
              <w:t>schutz Trier umgehend zu informieren (Anzeigepflicht</w:t>
            </w:r>
            <w:r>
              <w:rPr>
                <w:rFonts w:eastAsia="Arial" w:cs="Calibri" w:ascii="Calibri" w:hAnsi="Calibri"/>
                <w:color w:val="000000"/>
                <w:sz w:val="22"/>
                <w:szCs w:val="22"/>
                <w:lang w:val="en-US" w:eastAsia="de-DE"/>
              </w:rPr>
              <w:t xml:space="preserve"> gem.</w:t>
            </w:r>
            <w:r>
              <w:rPr>
                <w:rFonts w:eastAsia="Arial" w:cs="Calibri" w:ascii="Calibri" w:hAnsi="Calibri"/>
                <w:color w:val="000000"/>
                <w:sz w:val="22"/>
                <w:szCs w:val="22"/>
                <w:lang w:eastAsia="de-DE"/>
              </w:rPr>
              <w:t xml:space="preserve"> § 5 Abs. 1 LBodSchG).</w:t>
            </w:r>
          </w:p>
          <w:p>
            <w:pPr>
              <w:pStyle w:val="Normal"/>
              <w:suppressAutoHyphens w:val="false"/>
              <w:spacing w:lineRule="exact" w:line="263"/>
              <w:ind w:left="1296" w:right="113"/>
              <w:jc w:val="both"/>
              <w:textAlignment w:val="baseline"/>
              <w:rPr>
                <w:rFonts w:ascii="Calibri" w:hAnsi="Calibri" w:eastAsia="Arial" w:cs="Calibri"/>
                <w:b/>
                <w:color w:val="000000"/>
                <w:sz w:val="22"/>
                <w:szCs w:val="22"/>
                <w:lang w:eastAsia="de-DE"/>
              </w:rPr>
            </w:pPr>
            <w:r>
              <w:rPr>
                <w:rFonts w:eastAsia="Arial" w:cs="Calibri" w:ascii="Calibri" w:hAnsi="Calibri"/>
                <w:b/>
                <w:color w:val="000000"/>
                <w:sz w:val="22"/>
                <w:szCs w:val="22"/>
                <w:lang w:eastAsia="de-DE"/>
              </w:rPr>
              <w:t>Starkregenvorsorge</w:t>
            </w:r>
          </w:p>
          <w:p>
            <w:pPr>
              <w:pStyle w:val="Normal"/>
              <w:suppressAutoHyphens w:val="false"/>
              <w:spacing w:lineRule="exact" w:line="361" w:before="357" w:after="0"/>
              <w:ind w:left="1296" w:right="1152"/>
              <w:jc w:val="both"/>
              <w:textAlignment w:val="baseline"/>
              <w:rPr>
                <w:rFonts w:ascii="Calibri" w:hAnsi="Calibri" w:eastAsia="Arial" w:cs="Calibri"/>
                <w:color w:val="000000"/>
                <w:sz w:val="22"/>
                <w:szCs w:val="22"/>
                <w:lang w:eastAsia="de-DE"/>
              </w:rPr>
            </w:pPr>
            <w:r>
              <w:rPr>
                <w:rFonts w:eastAsia="Arial" w:cs="Calibri" w:ascii="Calibri" w:hAnsi="Calibri"/>
                <w:color w:val="000000"/>
                <w:sz w:val="22"/>
                <w:szCs w:val="22"/>
                <w:lang w:eastAsia="de-DE"/>
              </w:rPr>
              <w:t>Mit der Rückhaltung auf den privaten Grundstücken und dem zusätzlichen zentralen Rückhaltebecken wird Sorge getragen, dass sich der Zufluss von Oberflächenwasser in den Wiesgraben und die Ortslage gegenüber dem jetzigen Zustand jedenfalls nicht erhöht, wenn die Rückhaltungen plangemäß umgesetzt und instandgehalten werden.</w:t>
            </w:r>
          </w:p>
          <w:p>
            <w:pPr>
              <w:pStyle w:val="Normal"/>
              <w:suppressAutoHyphens w:val="false"/>
              <w:spacing w:lineRule="exact" w:line="361" w:before="358" w:after="0"/>
              <w:ind w:left="1296" w:right="1152"/>
              <w:jc w:val="both"/>
              <w:textAlignment w:val="baseline"/>
              <w:rPr>
                <w:rFonts w:ascii="Calibri" w:hAnsi="Calibri" w:eastAsia="Arial" w:cs="Calibri"/>
                <w:color w:val="000000"/>
                <w:spacing w:val="5"/>
                <w:sz w:val="22"/>
                <w:szCs w:val="22"/>
                <w:lang w:eastAsia="de-DE"/>
              </w:rPr>
            </w:pPr>
            <w:r>
              <w:rPr>
                <w:rFonts w:eastAsia="Arial" w:cs="Calibri" w:ascii="Calibri" w:hAnsi="Calibri"/>
                <w:color w:val="000000"/>
                <w:spacing w:val="5"/>
                <w:sz w:val="22"/>
                <w:szCs w:val="22"/>
                <w:lang w:eastAsia="de-DE"/>
              </w:rPr>
              <w:t>Das Hochwasserinfopaket des Landesamtes für Umwelt stellt eine Abflusskonzentra</w:t>
              <w:softHyphen/>
              <w:t>tion nach Starkregen zwar nur am Nordrand des Plangebietes dar. Oberflächenwas</w:t>
              <w:softHyphen/>
              <w:t>ser kann dem Gebiet aber auch diffus von den Hängen im Westen zufließen. Aus Sicht der Starkregenvorsorge empfehle ich deshalb, entsprechende Hinweise zum baulichen Objektschutz und zur angepassten Bauweise in den Bebauungsplan aufzu</w:t>
              <w:softHyphen/>
              <w:t>nehmen.</w:t>
            </w:r>
          </w:p>
          <w:p>
            <w:pPr>
              <w:pStyle w:val="Normal"/>
              <w:suppressAutoHyphens w:val="false"/>
              <w:spacing w:lineRule="exact" w:line="268" w:before="554" w:after="0"/>
              <w:ind w:left="1296" w:right="113"/>
              <w:jc w:val="both"/>
              <w:textAlignment w:val="baseline"/>
              <w:rPr>
                <w:rFonts w:ascii="Calibri" w:hAnsi="Calibri" w:eastAsia="Arial" w:cs="Calibri"/>
                <w:b/>
                <w:color w:val="000000"/>
                <w:spacing w:val="6"/>
                <w:sz w:val="22"/>
                <w:szCs w:val="22"/>
                <w:lang w:eastAsia="de-DE"/>
              </w:rPr>
            </w:pPr>
            <w:r>
              <w:rPr>
                <w:rFonts w:eastAsia="Arial" w:cs="Calibri" w:ascii="Calibri" w:hAnsi="Calibri"/>
                <w:b/>
                <w:color w:val="000000"/>
                <w:spacing w:val="6"/>
                <w:sz w:val="22"/>
                <w:szCs w:val="22"/>
                <w:lang w:eastAsia="de-DE"/>
              </w:rPr>
              <w:t>Abwasserbeseitigung (Schmutz- und Niederschlagswasser)</w:t>
            </w:r>
          </w:p>
          <w:p>
            <w:pPr>
              <w:pStyle w:val="Normal"/>
              <w:suppressAutoHyphens w:val="false"/>
              <w:spacing w:lineRule="exact" w:line="268" w:before="369" w:after="0"/>
              <w:ind w:left="1296" w:right="113"/>
              <w:jc w:val="both"/>
              <w:textAlignment w:val="baseline"/>
              <w:rPr>
                <w:rFonts w:ascii="Calibri" w:hAnsi="Calibri" w:eastAsia="Arial" w:cs="Calibri"/>
                <w:color w:val="000000"/>
                <w:spacing w:val="5"/>
                <w:sz w:val="22"/>
                <w:szCs w:val="22"/>
                <w:lang w:eastAsia="de-DE"/>
              </w:rPr>
            </w:pPr>
            <w:r>
              <w:rPr>
                <w:rFonts w:eastAsia="Arial" w:cs="Calibri" w:ascii="Calibri" w:hAnsi="Calibri"/>
                <w:color w:val="000000"/>
                <w:spacing w:val="5"/>
                <w:sz w:val="22"/>
                <w:szCs w:val="22"/>
                <w:lang w:eastAsia="de-DE"/>
              </w:rPr>
              <w:t>Die Ortsgemeinde/Ortslage Lieser ist abwassertechnisch an die mechanisch-biologi-</w:t>
            </w:r>
            <w:r>
              <w:rPr>
                <w:rFonts w:cs="Calibri" w:ascii="Calibri" w:hAnsi="Calibri"/>
                <w:color w:val="000000"/>
                <w:sz w:val="22"/>
                <w:szCs w:val="22"/>
                <w:lang w:eastAsia="de-DE"/>
              </w:rPr>
              <w:t xml:space="preserve"> </w:t>
            </w:r>
          </w:p>
          <w:p>
            <w:pPr>
              <w:pStyle w:val="Normal"/>
              <w:suppressAutoHyphens w:val="false"/>
              <w:spacing w:lineRule="exact" w:line="268" w:before="91" w:after="0"/>
              <w:ind w:left="1296" w:right="113"/>
              <w:jc w:val="both"/>
              <w:textAlignment w:val="baseline"/>
              <w:rPr>
                <w:rFonts w:ascii="Calibri" w:hAnsi="Calibri" w:eastAsia="Arial" w:cs="Calibri"/>
                <w:color w:val="000000"/>
                <w:spacing w:val="5"/>
                <w:sz w:val="22"/>
                <w:szCs w:val="22"/>
                <w:lang w:eastAsia="de-DE"/>
              </w:rPr>
            </w:pPr>
            <w:r>
              <w:rPr>
                <w:rFonts w:eastAsia="Arial" w:cs="Calibri" w:ascii="Calibri" w:hAnsi="Calibri"/>
                <w:color w:val="000000"/>
                <w:spacing w:val="5"/>
                <w:sz w:val="22"/>
                <w:szCs w:val="22"/>
                <w:lang w:eastAsia="de-DE"/>
              </w:rPr>
              <w:t>sche Gruppenkläranlage "Unteres Liesertal" (Ausbaugröße 22.270 EW) angeschlos-</w:t>
            </w:r>
            <w:r>
              <w:rPr>
                <w:rFonts w:cs="Calibri" w:ascii="Calibri" w:hAnsi="Calibri"/>
                <w:color w:val="000000"/>
                <w:sz w:val="22"/>
                <w:szCs w:val="22"/>
                <w:lang w:eastAsia="de-DE"/>
              </w:rPr>
              <w:t xml:space="preserve"> </w:t>
            </w:r>
          </w:p>
          <w:p>
            <w:pPr>
              <w:pStyle w:val="Normal"/>
              <w:suppressAutoHyphens w:val="false"/>
              <w:spacing w:lineRule="exact" w:line="268" w:before="98" w:after="0"/>
              <w:ind w:left="1296" w:right="113"/>
              <w:jc w:val="both"/>
              <w:textAlignment w:val="baseline"/>
              <w:rPr>
                <w:rFonts w:ascii="Calibri" w:hAnsi="Calibri" w:eastAsia="Arial" w:cs="Calibri"/>
                <w:color w:val="000000"/>
                <w:spacing w:val="-1"/>
                <w:sz w:val="22"/>
                <w:szCs w:val="22"/>
                <w:lang w:eastAsia="de-DE"/>
              </w:rPr>
            </w:pPr>
            <w:r>
              <w:rPr>
                <w:rFonts w:eastAsia="Arial" w:cs="Calibri" w:ascii="Calibri" w:hAnsi="Calibri"/>
                <w:color w:val="000000"/>
                <w:spacing w:val="-1"/>
                <w:sz w:val="22"/>
                <w:szCs w:val="22"/>
                <w:lang w:eastAsia="de-DE"/>
              </w:rPr>
              <w:t>sen.</w:t>
            </w:r>
          </w:p>
          <w:p>
            <w:pPr>
              <w:pStyle w:val="Normal"/>
              <w:suppressAutoHyphens w:val="false"/>
              <w:spacing w:lineRule="exact" w:line="268" w:before="86" w:after="0"/>
              <w:ind w:left="1296" w:right="113"/>
              <w:jc w:val="both"/>
              <w:textAlignment w:val="baseline"/>
              <w:rPr>
                <w:rFonts w:ascii="Calibri" w:hAnsi="Calibri" w:eastAsia="Arial" w:cs="Calibri"/>
                <w:color w:val="000000"/>
                <w:spacing w:val="5"/>
                <w:sz w:val="22"/>
                <w:szCs w:val="22"/>
                <w:lang w:eastAsia="de-DE"/>
              </w:rPr>
            </w:pPr>
            <w:r>
              <w:rPr>
                <w:rFonts w:eastAsia="Arial" w:cs="Calibri" w:ascii="Calibri" w:hAnsi="Calibri"/>
                <w:color w:val="000000"/>
                <w:spacing w:val="5"/>
                <w:sz w:val="22"/>
                <w:szCs w:val="22"/>
                <w:lang w:eastAsia="de-DE"/>
              </w:rPr>
              <w:t>Entsprechende Reserven liegen nach Einschätzung unseres Hauses noch vor.</w:t>
            </w:r>
          </w:p>
          <w:p>
            <w:pPr>
              <w:pStyle w:val="Normal"/>
              <w:suppressAutoHyphens w:val="false"/>
              <w:spacing w:lineRule="exact" w:line="269" w:before="90" w:after="0"/>
              <w:ind w:left="1296" w:right="113"/>
              <w:jc w:val="both"/>
              <w:textAlignment w:val="baseline"/>
              <w:rPr>
                <w:rFonts w:ascii="Calibri" w:hAnsi="Calibri" w:eastAsia="Arial" w:cs="Calibri"/>
                <w:color w:val="000000"/>
                <w:spacing w:val="5"/>
                <w:sz w:val="22"/>
                <w:szCs w:val="22"/>
                <w:lang w:eastAsia="de-DE"/>
              </w:rPr>
            </w:pPr>
            <w:r>
              <w:rPr>
                <w:rFonts w:eastAsia="Arial" w:cs="Calibri" w:ascii="Calibri" w:hAnsi="Calibri"/>
                <w:color w:val="000000"/>
                <w:spacing w:val="5"/>
                <w:sz w:val="22"/>
                <w:szCs w:val="22"/>
                <w:lang w:eastAsia="de-DE"/>
              </w:rPr>
              <w:t>Die Schmutzwasserbeseitigung des Planbereiches ist somit als gesichert anzusehen.</w:t>
            </w:r>
          </w:p>
          <w:p>
            <w:pPr>
              <w:pStyle w:val="Normal"/>
              <w:suppressAutoHyphens w:val="false"/>
              <w:spacing w:lineRule="exact" w:line="268" w:before="450" w:after="0"/>
              <w:ind w:left="1296" w:right="113"/>
              <w:jc w:val="both"/>
              <w:textAlignment w:val="baseline"/>
              <w:rPr>
                <w:rFonts w:ascii="Calibri" w:hAnsi="Calibri" w:eastAsia="Arial" w:cs="Calibri"/>
                <w:color w:val="000000"/>
                <w:spacing w:val="4"/>
                <w:sz w:val="22"/>
                <w:szCs w:val="22"/>
                <w:lang w:eastAsia="de-DE"/>
              </w:rPr>
            </w:pPr>
            <w:r>
              <w:rPr>
                <w:rFonts w:eastAsia="Arial" w:cs="Calibri" w:ascii="Calibri" w:hAnsi="Calibri"/>
                <w:color w:val="000000"/>
                <w:spacing w:val="4"/>
                <w:sz w:val="22"/>
                <w:szCs w:val="22"/>
                <w:lang w:eastAsia="de-DE"/>
              </w:rPr>
              <w:t>Bei der vorgesehenen Aufstellung des o.a. B-Planes ist folgendes zu berücksichtigen:</w:t>
            </w:r>
          </w:p>
          <w:p>
            <w:pPr>
              <w:pStyle w:val="Normal"/>
              <w:numPr>
                <w:ilvl w:val="0"/>
                <w:numId w:val="20"/>
              </w:numPr>
              <w:tabs>
                <w:tab w:val="clear" w:pos="709"/>
                <w:tab w:val="left" w:pos="1728" w:leader="none"/>
              </w:tabs>
              <w:suppressAutoHyphens w:val="false"/>
              <w:spacing w:lineRule="exact" w:line="361" w:before="358" w:after="0"/>
              <w:ind w:hanging="360" w:left="360" w:right="1152"/>
              <w:jc w:val="both"/>
              <w:textAlignment w:val="baseline"/>
              <w:rPr>
                <w:rFonts w:ascii="Calibri" w:hAnsi="Calibri" w:eastAsia="Arial" w:cs="Calibri"/>
                <w:color w:val="000000"/>
                <w:sz w:val="22"/>
                <w:szCs w:val="22"/>
                <w:lang w:eastAsia="de-DE"/>
              </w:rPr>
            </w:pPr>
            <w:r>
              <w:rPr>
                <w:rFonts w:eastAsia="Arial" w:cs="Calibri" w:ascii="Calibri" w:hAnsi="Calibri"/>
                <w:color w:val="000000"/>
                <w:sz w:val="22"/>
                <w:szCs w:val="22"/>
                <w:lang w:eastAsia="de-DE"/>
              </w:rPr>
              <w:t>Der abwassertechnische Anschluss (nur Schmutzwasser) über die örtliche Kanali</w:t>
              <w:softHyphen/>
              <w:t>sation an diese zentrale Kläranlage ist vorzusehen. Die örtliche Abwassersatzung ist zu beachten.</w:t>
            </w:r>
          </w:p>
          <w:p>
            <w:pPr>
              <w:pStyle w:val="Normal"/>
              <w:numPr>
                <w:ilvl w:val="0"/>
                <w:numId w:val="20"/>
              </w:numPr>
              <w:tabs>
                <w:tab w:val="clear" w:pos="709"/>
                <w:tab w:val="left" w:pos="1728" w:leader="none"/>
              </w:tabs>
              <w:suppressAutoHyphens w:val="false"/>
              <w:spacing w:lineRule="exact" w:line="361" w:before="352" w:after="1728"/>
              <w:ind w:hanging="360" w:left="360" w:right="1080"/>
              <w:jc w:val="both"/>
              <w:textAlignment w:val="baseline"/>
              <w:rPr>
                <w:rFonts w:ascii="Calibri" w:hAnsi="Calibri" w:eastAsia="Arial" w:cs="Calibri"/>
                <w:color w:val="000000"/>
                <w:sz w:val="22"/>
                <w:szCs w:val="22"/>
                <w:lang w:eastAsia="de-DE"/>
              </w:rPr>
            </w:pPr>
            <w:r>
              <w:rPr>
                <w:rFonts w:eastAsia="Arial" w:cs="Calibri" w:ascii="Calibri" w:hAnsi="Calibri"/>
                <w:color w:val="000000"/>
                <w:sz w:val="22"/>
                <w:szCs w:val="22"/>
                <w:lang w:eastAsia="de-DE"/>
              </w:rPr>
              <w:t>Es sind alle vertretbaren Möglichkeiten einer Niederschlagswasserverwertung und -versickerung bzw. Zwischenspeicherung auszuschöpfen. Neue Flächenbefesti</w:t>
              <w:softHyphen/>
              <w:t>gungen sind wasserdurchlässig herzustellen.</w:t>
            </w:r>
          </w:p>
          <w:p>
            <w:pPr>
              <w:pStyle w:val="Normal"/>
              <w:numPr>
                <w:ilvl w:val="0"/>
                <w:numId w:val="20"/>
              </w:numPr>
              <w:tabs>
                <w:tab w:val="clear" w:pos="709"/>
                <w:tab w:val="left" w:pos="1728" w:leader="none"/>
              </w:tabs>
              <w:suppressAutoHyphens w:val="false"/>
              <w:spacing w:lineRule="exact" w:line="361"/>
              <w:ind w:left="1296" w:right="1224"/>
              <w:jc w:val="both"/>
              <w:textAlignment w:val="baseline"/>
              <w:rPr>
                <w:rFonts w:ascii="Calibri" w:hAnsi="Calibri" w:eastAsia="Arial" w:cs="Calibri"/>
                <w:color w:val="000000"/>
                <w:spacing w:val="3"/>
                <w:sz w:val="22"/>
                <w:szCs w:val="22"/>
                <w:lang w:eastAsia="de-DE"/>
              </w:rPr>
            </w:pPr>
            <w:r>
              <w:rPr>
                <w:rFonts w:eastAsia="Arial" w:cs="Calibri" w:ascii="Calibri" w:hAnsi="Calibri"/>
                <w:color w:val="000000"/>
                <w:spacing w:val="3"/>
                <w:sz w:val="22"/>
                <w:szCs w:val="22"/>
                <w:lang w:eastAsia="de-DE"/>
              </w:rPr>
              <w:t>Mit dem bereits vorgelegten Entwässerungskonzept der Niederschlagswasserbe-wirtschaftung (VORENTWURF mit Stand vom 20.10.2022) des Ingenieurbüros Grahneis, Mülheim/Mosel besteht in wasserwirtschaftlicher Hinsicht Einverständ</w:t>
              <w:softHyphen/>
              <w:t>nis.</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r>
          </w:p>
        </w:tc>
      </w:tr>
    </w:tbl>
    <w:p>
      <w:pPr>
        <w:pStyle w:val="Normal"/>
        <w:keepNext w:val="true"/>
        <w:numPr>
          <w:ilvl w:val="0"/>
          <w:numId w:val="42"/>
        </w:numPr>
        <w:tabs>
          <w:tab w:val="clear" w:pos="709"/>
          <w:tab w:val="left" w:pos="2694" w:leader="none"/>
          <w:tab w:val="left" w:pos="8505" w:leader="none"/>
        </w:tabs>
        <w:suppressAutoHyphens w:val="false"/>
        <w:spacing w:before="360" w:after="100"/>
        <w:ind w:hanging="432" w:left="858" w:right="-29"/>
        <w:jc w:val="both"/>
        <w:outlineLvl w:val="0"/>
        <w:rPr>
          <w:rFonts w:ascii="Calibri" w:hAnsi="Calibri"/>
          <w:b/>
          <w:sz w:val="22"/>
          <w:lang w:eastAsia="de-DE"/>
        </w:rPr>
      </w:pPr>
      <w:bookmarkStart w:id="27" w:name="_Toc122069594"/>
      <w:r>
        <w:rPr>
          <w:rFonts w:ascii="Calibri" w:hAnsi="Calibri"/>
          <w:b/>
          <w:sz w:val="22"/>
          <w:lang w:eastAsia="de-DE"/>
        </w:rPr>
        <w:t>Struktur- und Genehmigungsdirektion Nord Regionalstelle Gewerbeaufsicht</w:t>
      </w:r>
      <w:bookmarkEnd w:id="27"/>
    </w:p>
    <w:tbl>
      <w:tblPr>
        <w:tblW w:w="14454"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206"/>
        <w:gridCol w:w="14247"/>
      </w:tblGrid>
      <w:tr>
        <w:trPr>
          <w:tblHeader w:val="true"/>
        </w:trPr>
        <w:tc>
          <w:tcPr>
            <w:tcW w:w="14453" w:type="dxa"/>
            <w:gridSpan w:val="2"/>
            <w:tcBorders>
              <w:top w:val="single" w:sz="4" w:space="0" w:color="000000"/>
              <w:left w:val="single" w:sz="4" w:space="0" w:color="000000"/>
              <w:bottom w:val="single" w:sz="4" w:space="0" w:color="000000"/>
              <w:right w:val="single" w:sz="4" w:space="0" w:color="000000"/>
            </w:tcBorders>
            <w:shd w:color="auto" w:fill="FFFFFF" w:val="pct12"/>
          </w:tcPr>
          <w:p>
            <w:pPr>
              <w:pStyle w:val="Normal"/>
              <w:tabs>
                <w:tab w:val="clear" w:pos="709"/>
                <w:tab w:val="left" w:pos="1875" w:leader="none"/>
              </w:tabs>
              <w:suppressAutoHyphens w:val="false"/>
              <w:ind w:right="113"/>
              <w:jc w:val="both"/>
              <w:rPr>
                <w:rFonts w:ascii="Calibri" w:hAnsi="Calibri"/>
                <w:b/>
                <w:sz w:val="22"/>
                <w:lang w:eastAsia="de-DE"/>
              </w:rPr>
            </w:pPr>
            <w:r>
              <w:rPr>
                <w:rFonts w:ascii="Calibri" w:hAnsi="Calibri"/>
                <w:b/>
                <w:sz w:val="22"/>
                <w:lang w:eastAsia="de-DE"/>
              </w:rPr>
              <w:t>Anregung</w:t>
            </w:r>
          </w:p>
        </w:tc>
      </w:tr>
      <w:tr>
        <w:trPr/>
        <w:tc>
          <w:tcPr>
            <w:tcW w:w="206" w:type="dxa"/>
            <w:tcBorders>
              <w:top w:val="single" w:sz="4" w:space="0" w:color="000000"/>
              <w:left w:val="single" w:sz="4" w:space="0" w:color="000000"/>
              <w:bottom w:val="single" w:sz="4" w:space="0" w:color="000000"/>
            </w:tcBorders>
          </w:tcPr>
          <w:p>
            <w:pPr>
              <w:pStyle w:val="Normal"/>
              <w:widowControl w:val="false"/>
              <w:tabs>
                <w:tab w:val="clear" w:pos="709"/>
                <w:tab w:val="left" w:pos="708" w:leader="none"/>
                <w:tab w:val="center" w:pos="4536" w:leader="none"/>
                <w:tab w:val="right" w:pos="9072" w:leader="none"/>
              </w:tabs>
              <w:suppressAutoHyphens w:val="false"/>
              <w:ind w:right="113"/>
              <w:jc w:val="right"/>
              <w:rPr>
                <w:rFonts w:ascii="Calibri" w:hAnsi="Calibri"/>
                <w:sz w:val="16"/>
                <w:lang w:eastAsia="de-DE"/>
              </w:rPr>
            </w:pPr>
            <w:r>
              <w:rPr>
                <w:rFonts w:ascii="Calibri" w:hAnsi="Calibri"/>
                <w:sz w:val="16"/>
                <w:lang w:eastAsia="de-DE"/>
              </w:rPr>
            </w:r>
          </w:p>
        </w:tc>
        <w:tc>
          <w:tcPr>
            <w:tcW w:w="14247" w:type="dxa"/>
            <w:tcBorders>
              <w:top w:val="single" w:sz="4" w:space="0" w:color="000000"/>
              <w:bottom w:val="single" w:sz="4" w:space="0" w:color="000000"/>
              <w:right w:val="single" w:sz="4" w:space="0" w:color="000000"/>
            </w:tcBorders>
          </w:tcPr>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Ziel der Ortsgemeinde Lieser ist es, die bauplanungsrechtlichen Voraussetzungen zum Neubau von vorrangig Einfamilienwohnhäusern bzw. Doppelwohnhäusern zu schaffen, geplant sind ca. 23 Baustellen. Die von der Planung betroffenen Grundstücke befinden sich derzeit im bauplanungsrechtlichen Außenbereich, weshalb die Aufstellung eines Bebauungsplanes erforderlich ist, welcher im vorliegenden Fall ein „Dorfgebiet“ (MD) nach § 5 Baunutzungsverordnung (BauNVO) festsetzen soll.</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Davon ausgehend wären im Plangebiet zukünftig die zulässigen Immissionsrichtwerte für Lärm nach Nr. 6.1 Buchstabe „d“ der Sechsten allgemeinen Verwaltungsvorschrift zum Bundes-Immissionsschutzgesetz (Technische Anleitung zum Schutz gegen Lärm – TA Lärm) von tags 60 dB(A) und nachts 45 dB(A) maßgeblich. Ferner wäre zu</w:t>
            </w:r>
            <w:r>
              <w:rPr>
                <w:rFonts w:ascii="Calibri" w:hAnsi="Calibri"/>
                <w:sz w:val="22"/>
                <w:lang w:eastAsia="de-DE"/>
              </w:rPr>
              <w:t xml:space="preserve"> </w:t>
            </w:r>
            <w:r>
              <w:rPr>
                <w:rFonts w:eastAsia="Calibri" w:ascii="Calibri" w:hAnsi="Calibri"/>
                <w:sz w:val="22"/>
                <w:lang w:eastAsia="de-DE"/>
              </w:rPr>
              <w:t>nächst von einem zulässigen Immissionswert für Geruchsimmissionen (relative Geruchstundenhäufigkeit) nach Anhang 7 Nr. 3.1 der Neufassung der Ersten Allgemeinen Verwaltungsvorschrift zum Bundes-Immissionsschutzgesetz (Technische Anleitung zur Reinhaltung der Luft – TA Luft) in Höhe von max. 15% der Jahresstunden auszugehen.</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Aus Sicht des anlagenbezogenen Immissionsschutzes wird gebeten, folgende Anregung zu berücksichtigen:</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Nach § 5 Abs. 1 BauNVO dienen Dorfgebiete der Unterbringung der Wirtschaftsstellen land- und forstwirtschaftlicher Betriebe, dem Wohnen und der Unterbringung von nicht wesentlich störenden Gewerbebetrieben sowie der Versorgung der Bewohner des Gebiets dienenden Handwerksbetrieben. Auf die Belange der land- und forstwirtschaftlichen Betriebe einschließlich ihrer Entwicklungsmöglichkeiten ist vorrangig Rücksicht zu nehmen. Die Nutzungsmischung muss in etwa gleichgewichtig sein.</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In diesem Zusammenhang wird darauf hingewiesen, dass die tatsächliche Realisierung von Wohnnutzungen sowie gewerblichen und landwirtschaftlichen Nutzungen entsprechend dem Nutzungskatalog des § 5 BauNVO im Plangebiet sichergestellt sein muss (Typenzwang). So muss beispielsweise eine ausreichend große Parzellierung vorgesehen sein, die eine entsprechende Bebauung realistisch erscheinen lässt.</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r>
          </w:p>
          <w:p>
            <w:pPr>
              <w:pStyle w:val="Normal"/>
              <w:suppressAutoHyphens w:val="false"/>
              <w:ind w:left="709" w:right="113"/>
              <w:jc w:val="both"/>
              <w:rPr>
                <w:rFonts w:ascii="Calibri" w:hAnsi="Calibri" w:eastAsia="Calibri"/>
                <w:i/>
                <w:i/>
                <w:sz w:val="22"/>
                <w:lang w:eastAsia="de-DE"/>
              </w:rPr>
            </w:pPr>
            <w:r>
              <w:rPr>
                <w:rFonts w:eastAsia="Calibri" w:ascii="Calibri" w:hAnsi="Calibri"/>
                <w:i/>
                <w:sz w:val="22"/>
                <w:lang w:eastAsia="de-DE"/>
              </w:rPr>
              <w:t>„</w:t>
            </w:r>
            <w:r>
              <w:rPr>
                <w:rFonts w:eastAsia="Calibri" w:ascii="Calibri" w:hAnsi="Calibri"/>
                <w:i/>
                <w:sz w:val="22"/>
                <w:lang w:eastAsia="de-DE"/>
              </w:rPr>
              <w:t>Ein Plangeber, der ein Mischgebiet festsetzt, muss […] das gesetzlich vorgesehene gleichberechtigte Miteinander von Wohnen und Gewerbe auch wollen oder zumindest sicher voraussehen, dass sich in dem fraglichen Gebiet eine solche Durchmischung einstellt. Wenn er dagegen ein Miteinander von Wohnen und Gewerbe gar nicht anstrebt oder wenn eine solche Entwicklung wegen der vorhandenen Bebauung oder aufgrund sonstiger Festsetzungen im Bebauungsplan faktisch nicht zu erreichen ist, stellt die Festsetzung des Mischgebiets einen städtebaulich nicht gerechtfertigten „Etikettenschwindel“ dar“ (vgl. BayVGH, Urt. v. 03.04.2007 - 25 N 03.1282 -, juris, RdNr. 17, m.w.N. – Festsetzung eines Mischgebietes).</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r>
          </w:p>
          <w:p>
            <w:pPr>
              <w:pStyle w:val="Normal"/>
              <w:suppressAutoHyphens w:val="false"/>
              <w:ind w:left="709" w:right="113"/>
              <w:jc w:val="both"/>
              <w:rPr>
                <w:rFonts w:ascii="Calibri" w:hAnsi="Calibri" w:eastAsia="Calibri"/>
                <w:sz w:val="22"/>
                <w:lang w:eastAsia="de-DE"/>
              </w:rPr>
            </w:pPr>
            <w:r>
              <w:rPr>
                <w:rFonts w:eastAsia="Calibri" w:ascii="Calibri" w:hAnsi="Calibri"/>
                <w:sz w:val="22"/>
                <w:lang w:eastAsia="de-DE"/>
              </w:rPr>
              <w:t>Dies dürfte analog auch für den Fall der Festsetzung eines Dorfgebietes gelten.</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Es liegt die Vermutung nahe, dass die Ortsgemeinde Lieser kein Gebiet mit dem typischen Nebeneinander von Wohnnutzung, gewerblicher und landwirtschaftlicher Nutzung ausweisen möchte. Die bisherige Planung lässt dies für uns zumindest nicht er- kennen, im Gegenteil. Unter lfd.-Nr. 4.1 der Begründung zum Bebauungsplan wird, wie eingangs bereits erwähnt, dargelegt, dass zukünftig vorrangig Wohnnutzungen realisiert werden sollen.</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Unter lfd.-Nr. 1.3 der textlichen Festsetzungen ist nur von Einzel- und Doppelhäusern die Rede, was sich auch mit den Größenangaben der Baufenster in der Planzeichnung deckt. Außerdem wird unter lfd.-Nr. 3.7 hinsichtlich dem Einsatz von Klima-, Kühl- und Lüftungsgeräten sowie Luft-Wärmepumpen bereits Bezug auf ein „Allgemeines Wohngebiet“ (WA) nach § 4 BauNVO genommen, was im Falle einer Festsetzung eines Allgemeines Wohngebiet von hier aus grundsätzlich begrüßt wird.</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Möglicherweise wird durch die Ausweisung eines Dorfgebietes nicht angestrebt, die Ansiedlung gewerblicher und landwirtschaftlicher Betriebe im Plangebiet zu ermöglichen. Vielmehr könnte beabsichtigt sein, so die Schutzwürdigkeit der zukünftigen Wohnbebauung gegenüber Lärm- und Geruchsimmissionen mit Rücksicht auf bereits bestehende gewerbliche oder landwirtschaftliche Nutzungen innerhalb und außerhalb des Plangebietes zu verringern.</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r>
          </w:p>
          <w:p>
            <w:pPr>
              <w:pStyle w:val="Normal"/>
              <w:suppressAutoHyphens w:val="false"/>
              <w:ind w:left="709" w:right="113"/>
              <w:jc w:val="both"/>
              <w:rPr>
                <w:rFonts w:ascii="Calibri" w:hAnsi="Calibri" w:eastAsia="Calibri"/>
                <w:i/>
                <w:i/>
                <w:sz w:val="22"/>
                <w:lang w:eastAsia="de-DE"/>
              </w:rPr>
            </w:pPr>
            <w:r>
              <w:rPr>
                <w:rFonts w:eastAsia="Calibri" w:ascii="Calibri" w:hAnsi="Calibri"/>
                <w:i/>
                <w:sz w:val="22"/>
                <w:lang w:eastAsia="de-DE"/>
              </w:rPr>
              <w:t>„</w:t>
            </w:r>
            <w:r>
              <w:rPr>
                <w:rFonts w:eastAsia="Calibri" w:ascii="Calibri" w:hAnsi="Calibri"/>
                <w:i/>
                <w:sz w:val="22"/>
                <w:lang w:eastAsia="de-DE"/>
              </w:rPr>
              <w:t>Bei der Ausweisung eines Mischgebiets handelt es sich um einen derartigen Etikettenschwindel, wenn diese Gebietsfestsetzung offensichtlich nicht ernsthaft gewollt, sondern nur vorgeschoben ist, um ein auf dem Papier stimmiges Konzept einzuhalten“ (vgl. OVG RP, Urt. v. 21.10.2009 – 1 C 10150/09.OVG – juris, RdNr. 25; VGH BW, Urt. v. 17.05.2013, a.a.O., RdNr. 34, m.w.N.).</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r>
          </w:p>
          <w:p>
            <w:pPr>
              <w:pStyle w:val="Normal"/>
              <w:suppressAutoHyphens w:val="false"/>
              <w:ind w:left="709" w:right="113"/>
              <w:jc w:val="both"/>
              <w:rPr>
                <w:rFonts w:ascii="Calibri" w:hAnsi="Calibri" w:eastAsia="Calibri"/>
                <w:i/>
                <w:i/>
                <w:sz w:val="22"/>
                <w:lang w:eastAsia="de-DE"/>
              </w:rPr>
            </w:pPr>
            <w:r>
              <w:rPr>
                <w:rFonts w:eastAsia="Calibri" w:ascii="Calibri" w:hAnsi="Calibri"/>
                <w:i/>
                <w:sz w:val="22"/>
                <w:lang w:eastAsia="de-DE"/>
              </w:rPr>
              <w:t>„</w:t>
            </w:r>
            <w:r>
              <w:rPr>
                <w:rFonts w:eastAsia="Calibri" w:ascii="Calibri" w:hAnsi="Calibri"/>
                <w:i/>
                <w:sz w:val="22"/>
                <w:lang w:eastAsia="de-DE"/>
              </w:rPr>
              <w:t>Dies ist etwa der Fall, wenn die Verwirklichung einer mischgebietstypischen Durchmischung des Gebiets im Sinne des gesetzlich vorgesehenen gleichberechtigten Miteinanders von Wohnen und Gewerbe gar nicht gewollt ist, sondern die Mischgebietsfestsetzung nur aus Gründen des Immissionsschutzes als „Pufferzone“ zwischen gewerblicher und Wohnnutzung erfolgt“ (OVG RP, Urt. v. 21.06.2017 – 8 C 10068/17 –, juris, RdNr. 49, m.w.N.; OVG SH, Urt. v. 18.05.2017 – 1 KN 7/15 –, juris, RdNr. 55; Söfker, in: Ernst/Zinkahn/Bielenberg, BauGB, § 6 BauNVO RdNr. 15).</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r>
          </w:p>
          <w:p>
            <w:pPr>
              <w:pStyle w:val="Normal"/>
              <w:suppressAutoHyphens w:val="false"/>
              <w:ind w:left="709" w:right="113"/>
              <w:jc w:val="both"/>
              <w:rPr>
                <w:rFonts w:ascii="Calibri" w:hAnsi="Calibri" w:eastAsia="Calibri"/>
                <w:i/>
                <w:i/>
                <w:sz w:val="22"/>
                <w:lang w:eastAsia="de-DE"/>
              </w:rPr>
            </w:pPr>
            <w:r>
              <w:rPr>
                <w:rFonts w:eastAsia="Calibri" w:ascii="Calibri" w:hAnsi="Calibri"/>
                <w:i/>
                <w:sz w:val="22"/>
                <w:lang w:eastAsia="de-DE"/>
              </w:rPr>
              <w:t>Dies dürfte analog auch für den Fall der Festsetzung eines Dorfgebietes gelten.</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Sofern die Vermutung zutreffend sein sollte wird der Ortsgemeinde Lieser von hier aus empfohlen, die Planung dahingehend anzupassen. Beispielsweise könnte für die Bereiche entlang der Richard-Wagner-Straße sowie entlang der Schubertstraße wenigstens ein „Allgemeines Wohngebiet“ (WA) nach § 4 BauNVO festgesetzt werden.</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Entlang der Mozartstraße könnte die Festsetzung eines „Dorfgebietes“ (MD) nach § 5 BauNVO aufgrund der bereits vorhandenen landwirtschaftlichen Nutzung weiterhin bestehen bleiben.</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Im Bereich des Allgemeinen Wohngebietes wären die zulässigen Immissionsrichtwerte für Lärm nach Nr. 6.1 Buchstabe „e“ der TA Lärm von tags 55 dB(A) und nachts 40 dB(A) maßgeblich. Ferner wäre hier zunächst von einem zulässigen Immissionswert für Geruchsimmissionen (relative Geruchsstundenhäufigkeit) nach Anhang 7 Nr. 3.1 TA Luft in Höhe von max. 10% der Jahresstunden auszugehen.</w:t>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r>
          </w:p>
          <w:p>
            <w:pPr>
              <w:pStyle w:val="Normal"/>
              <w:suppressAutoHyphens w:val="false"/>
              <w:ind w:right="113"/>
              <w:jc w:val="both"/>
              <w:rPr>
                <w:rFonts w:ascii="Calibri" w:hAnsi="Calibri" w:eastAsia="Calibri"/>
                <w:sz w:val="22"/>
                <w:lang w:eastAsia="de-DE"/>
              </w:rPr>
            </w:pPr>
            <w:r>
              <w:rPr>
                <w:rFonts w:eastAsia="Calibri" w:ascii="Calibri" w:hAnsi="Calibri"/>
                <w:sz w:val="22"/>
                <w:lang w:eastAsia="de-DE"/>
              </w:rPr>
              <w:t>Diese Immissionsrichtwerte sind im Übrigen auch für die bereits bestehende Wohnbebauung im südlichen Bereich entlang der Richard-Wagner-Straße, der Schubertstraße, der Mozartstraße sowie der Schlossbergstraße maßgeblich. Insofern wäre die Bebauung entlang der Schubertstraße wie auch die Bebauung im südlichen Bereich entlang der Mozartstraße (jeweils Allgemeines Wohngebiet) bei zukünftigen Bauvor- haben im nördlichen Bereich der Mozartstraße (Dorfgebiet) als maßgebliche Immissionsorte zu berücksichtigen.</w:t>
            </w:r>
          </w:p>
        </w:tc>
      </w:tr>
    </w:tbl>
    <w:p>
      <w:pPr>
        <w:pStyle w:val="Normal"/>
        <w:keepNext w:val="true"/>
        <w:numPr>
          <w:ilvl w:val="0"/>
          <w:numId w:val="43"/>
        </w:numPr>
        <w:tabs>
          <w:tab w:val="clear" w:pos="709"/>
          <w:tab w:val="left" w:pos="2694" w:leader="none"/>
          <w:tab w:val="left" w:pos="8505" w:leader="none"/>
        </w:tabs>
        <w:suppressAutoHyphens w:val="false"/>
        <w:spacing w:before="360" w:after="100"/>
        <w:ind w:hanging="432" w:left="858" w:right="-29"/>
        <w:jc w:val="both"/>
        <w:outlineLvl w:val="0"/>
        <w:rPr>
          <w:rFonts w:ascii="Calibri" w:hAnsi="Calibri"/>
          <w:b/>
          <w:sz w:val="22"/>
          <w:lang w:eastAsia="de-DE"/>
        </w:rPr>
      </w:pPr>
      <w:bookmarkStart w:id="28" w:name="_Toc122069595"/>
      <w:r>
        <w:rPr>
          <w:rFonts w:ascii="Calibri" w:hAnsi="Calibri"/>
          <w:b/>
          <w:sz w:val="22"/>
          <w:lang w:eastAsia="de-DE"/>
        </w:rPr>
        <w:t>Verbandsgemeinde Thalfang</w:t>
      </w:r>
      <w:bookmarkEnd w:id="28"/>
      <w:r>
        <w:rPr>
          <w:rFonts w:ascii="Calibri" w:hAnsi="Calibri"/>
          <w:b/>
          <w:sz w:val="22"/>
          <w:lang w:eastAsia="de-DE"/>
        </w:rPr>
        <w:t xml:space="preserve"> am Erbeskopf</w:t>
      </w:r>
    </w:p>
    <w:tbl>
      <w:tblPr>
        <w:tblW w:w="14454"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206"/>
        <w:gridCol w:w="14247"/>
      </w:tblGrid>
      <w:tr>
        <w:trPr>
          <w:tblHeader w:val="true"/>
        </w:trPr>
        <w:tc>
          <w:tcPr>
            <w:tcW w:w="14453" w:type="dxa"/>
            <w:gridSpan w:val="2"/>
            <w:tcBorders>
              <w:top w:val="single" w:sz="4" w:space="0" w:color="000000"/>
              <w:left w:val="single" w:sz="4" w:space="0" w:color="000000"/>
              <w:bottom w:val="single" w:sz="4" w:space="0" w:color="000000"/>
              <w:right w:val="single" w:sz="4" w:space="0" w:color="000000"/>
            </w:tcBorders>
            <w:shd w:color="auto" w:fill="FFFFFF" w:val="pct12"/>
          </w:tcPr>
          <w:p>
            <w:pPr>
              <w:pStyle w:val="Normal"/>
              <w:tabs>
                <w:tab w:val="clear" w:pos="709"/>
                <w:tab w:val="left" w:pos="1875" w:leader="none"/>
              </w:tabs>
              <w:suppressAutoHyphens w:val="false"/>
              <w:ind w:right="113"/>
              <w:jc w:val="both"/>
              <w:rPr>
                <w:rFonts w:ascii="Calibri" w:hAnsi="Calibri"/>
                <w:b/>
                <w:sz w:val="22"/>
                <w:lang w:eastAsia="de-DE"/>
              </w:rPr>
            </w:pPr>
            <w:r>
              <w:rPr>
                <w:rFonts w:ascii="Calibri" w:hAnsi="Calibri"/>
                <w:b/>
                <w:sz w:val="22"/>
                <w:lang w:eastAsia="de-DE"/>
              </w:rPr>
              <w:t>Anregung</w:t>
            </w:r>
          </w:p>
        </w:tc>
      </w:tr>
      <w:tr>
        <w:trPr/>
        <w:tc>
          <w:tcPr>
            <w:tcW w:w="206" w:type="dxa"/>
            <w:tcBorders>
              <w:top w:val="single" w:sz="4" w:space="0" w:color="000000"/>
              <w:left w:val="single" w:sz="4" w:space="0" w:color="000000"/>
              <w:bottom w:val="single" w:sz="4" w:space="0" w:color="000000"/>
            </w:tcBorders>
          </w:tcPr>
          <w:p>
            <w:pPr>
              <w:pStyle w:val="Normal"/>
              <w:widowControl w:val="false"/>
              <w:tabs>
                <w:tab w:val="clear" w:pos="709"/>
                <w:tab w:val="left" w:pos="708" w:leader="none"/>
                <w:tab w:val="center" w:pos="4536" w:leader="none"/>
                <w:tab w:val="right" w:pos="9072" w:leader="none"/>
              </w:tabs>
              <w:suppressAutoHyphens w:val="false"/>
              <w:ind w:right="113"/>
              <w:jc w:val="right"/>
              <w:rPr>
                <w:rFonts w:ascii="Calibri" w:hAnsi="Calibri" w:cs="Calibri"/>
                <w:sz w:val="22"/>
                <w:szCs w:val="22"/>
                <w:lang w:eastAsia="de-DE"/>
              </w:rPr>
            </w:pPr>
            <w:r>
              <w:rPr>
                <w:rFonts w:cs="Calibri" w:ascii="Calibri" w:hAnsi="Calibri"/>
                <w:sz w:val="22"/>
                <w:szCs w:val="22"/>
                <w:lang w:eastAsia="de-DE"/>
              </w:rPr>
            </w:r>
          </w:p>
        </w:tc>
        <w:tc>
          <w:tcPr>
            <w:tcW w:w="14247" w:type="dxa"/>
            <w:tcBorders>
              <w:top w:val="single" w:sz="4" w:space="0" w:color="000000"/>
              <w:bottom w:val="single" w:sz="4" w:space="0" w:color="000000"/>
              <w:right w:val="single" w:sz="4" w:space="0" w:color="000000"/>
            </w:tcBorders>
          </w:tcPr>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Von Seiten der Verbandsgemeinde Thalfang bestehen keine Bedenken gegen die vorgelegte Planung.</w:t>
            </w:r>
          </w:p>
        </w:tc>
      </w:tr>
    </w:tbl>
    <w:p>
      <w:pPr>
        <w:pStyle w:val="Normal"/>
        <w:keepNext w:val="true"/>
        <w:numPr>
          <w:ilvl w:val="0"/>
          <w:numId w:val="44"/>
        </w:numPr>
        <w:tabs>
          <w:tab w:val="clear" w:pos="709"/>
          <w:tab w:val="left" w:pos="2694" w:leader="none"/>
          <w:tab w:val="left" w:pos="8505" w:leader="none"/>
        </w:tabs>
        <w:suppressAutoHyphens w:val="false"/>
        <w:spacing w:before="360" w:after="100"/>
        <w:ind w:hanging="432" w:left="858" w:right="-29"/>
        <w:jc w:val="both"/>
        <w:outlineLvl w:val="0"/>
        <w:rPr>
          <w:rFonts w:ascii="Calibri" w:hAnsi="Calibri"/>
          <w:b/>
          <w:sz w:val="22"/>
          <w:lang w:eastAsia="de-DE"/>
        </w:rPr>
      </w:pPr>
      <w:bookmarkStart w:id="29" w:name="_Toc122069596"/>
      <w:r>
        <w:rPr>
          <w:rFonts w:ascii="Calibri" w:hAnsi="Calibri"/>
          <w:b/>
          <w:sz w:val="22"/>
          <w:lang w:eastAsia="de-DE"/>
        </w:rPr>
        <w:t>Verbandsgemeinde Schweich an der Römischen Weinstraße</w:t>
      </w:r>
      <w:bookmarkEnd w:id="29"/>
    </w:p>
    <w:tbl>
      <w:tblPr>
        <w:tblW w:w="14454"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206"/>
        <w:gridCol w:w="14247"/>
      </w:tblGrid>
      <w:tr>
        <w:trPr>
          <w:tblHeader w:val="true"/>
        </w:trPr>
        <w:tc>
          <w:tcPr>
            <w:tcW w:w="14453" w:type="dxa"/>
            <w:gridSpan w:val="2"/>
            <w:tcBorders>
              <w:top w:val="single" w:sz="4" w:space="0" w:color="000000"/>
              <w:left w:val="single" w:sz="4" w:space="0" w:color="000000"/>
              <w:bottom w:val="single" w:sz="4" w:space="0" w:color="000000"/>
              <w:right w:val="single" w:sz="4" w:space="0" w:color="000000"/>
            </w:tcBorders>
            <w:shd w:color="auto" w:fill="FFFFFF" w:val="pct12"/>
          </w:tcPr>
          <w:p>
            <w:pPr>
              <w:pStyle w:val="Normal"/>
              <w:tabs>
                <w:tab w:val="clear" w:pos="709"/>
                <w:tab w:val="left" w:pos="1875" w:leader="none"/>
              </w:tabs>
              <w:suppressAutoHyphens w:val="false"/>
              <w:ind w:right="113"/>
              <w:jc w:val="both"/>
              <w:rPr>
                <w:rFonts w:ascii="Calibri" w:hAnsi="Calibri"/>
                <w:b/>
                <w:sz w:val="22"/>
                <w:lang w:eastAsia="de-DE"/>
              </w:rPr>
            </w:pPr>
            <w:r>
              <w:rPr>
                <w:rFonts w:ascii="Calibri" w:hAnsi="Calibri"/>
                <w:b/>
                <w:sz w:val="22"/>
                <w:lang w:eastAsia="de-DE"/>
              </w:rPr>
              <w:t>Anregung</w:t>
            </w:r>
          </w:p>
        </w:tc>
      </w:tr>
      <w:tr>
        <w:trPr/>
        <w:tc>
          <w:tcPr>
            <w:tcW w:w="206" w:type="dxa"/>
            <w:tcBorders>
              <w:top w:val="single" w:sz="4" w:space="0" w:color="000000"/>
              <w:left w:val="single" w:sz="4" w:space="0" w:color="000000"/>
              <w:bottom w:val="single" w:sz="4" w:space="0" w:color="000000"/>
            </w:tcBorders>
          </w:tcPr>
          <w:p>
            <w:pPr>
              <w:pStyle w:val="Normal"/>
              <w:widowControl w:val="false"/>
              <w:tabs>
                <w:tab w:val="clear" w:pos="709"/>
                <w:tab w:val="left" w:pos="708" w:leader="none"/>
                <w:tab w:val="center" w:pos="4536" w:leader="none"/>
                <w:tab w:val="right" w:pos="9072" w:leader="none"/>
              </w:tabs>
              <w:suppressAutoHyphens w:val="false"/>
              <w:ind w:right="113"/>
              <w:jc w:val="right"/>
              <w:rPr>
                <w:rFonts w:ascii="Calibri" w:hAnsi="Calibri" w:cs="Calibri"/>
                <w:sz w:val="22"/>
                <w:szCs w:val="22"/>
                <w:lang w:eastAsia="de-DE"/>
              </w:rPr>
            </w:pPr>
            <w:r>
              <w:rPr>
                <w:rFonts w:cs="Calibri" w:ascii="Calibri" w:hAnsi="Calibri"/>
                <w:sz w:val="22"/>
                <w:szCs w:val="22"/>
                <w:lang w:eastAsia="de-DE"/>
              </w:rPr>
            </w:r>
          </w:p>
        </w:tc>
        <w:tc>
          <w:tcPr>
            <w:tcW w:w="14247" w:type="dxa"/>
            <w:tcBorders>
              <w:top w:val="single" w:sz="4" w:space="0" w:color="000000"/>
              <w:bottom w:val="single" w:sz="4" w:space="0" w:color="000000"/>
              <w:right w:val="single" w:sz="4" w:space="0" w:color="000000"/>
            </w:tcBorders>
          </w:tcPr>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Danke für die Beteiligung. Wir wünschen viel Erfolg bei der Entwicklung des Gebietes</w:t>
            </w:r>
          </w:p>
        </w:tc>
      </w:tr>
    </w:tbl>
    <w:p>
      <w:pPr>
        <w:pStyle w:val="Normal"/>
        <w:suppressAutoHyphens w:val="false"/>
        <w:ind w:right="113"/>
        <w:jc w:val="both"/>
        <w:rPr>
          <w:rFonts w:ascii="Calibri" w:hAnsi="Calibri"/>
          <w:sz w:val="22"/>
          <w:lang w:eastAsia="de-DE"/>
        </w:rPr>
      </w:pPr>
      <w:r>
        <w:rPr>
          <w:rFonts w:ascii="Calibri" w:hAnsi="Calibri"/>
          <w:sz w:val="22"/>
          <w:lang w:eastAsia="de-DE"/>
        </w:rPr>
      </w:r>
    </w:p>
    <w:p>
      <w:pPr>
        <w:pStyle w:val="Normal"/>
        <w:keepNext w:val="true"/>
        <w:numPr>
          <w:ilvl w:val="0"/>
          <w:numId w:val="45"/>
        </w:numPr>
        <w:tabs>
          <w:tab w:val="clear" w:pos="709"/>
          <w:tab w:val="left" w:pos="2694" w:leader="none"/>
          <w:tab w:val="left" w:pos="8505" w:leader="none"/>
        </w:tabs>
        <w:suppressAutoHyphens w:val="false"/>
        <w:spacing w:before="360" w:after="100"/>
        <w:ind w:hanging="432" w:left="858" w:right="-29"/>
        <w:jc w:val="both"/>
        <w:outlineLvl w:val="0"/>
        <w:rPr>
          <w:rFonts w:ascii="Calibri" w:hAnsi="Calibri"/>
          <w:b/>
          <w:sz w:val="22"/>
          <w:lang w:eastAsia="de-DE"/>
        </w:rPr>
      </w:pPr>
      <w:bookmarkStart w:id="30" w:name="_Toc122069597"/>
      <w:r>
        <w:rPr>
          <w:rFonts w:ascii="Calibri" w:hAnsi="Calibri"/>
          <w:b/>
          <w:sz w:val="22"/>
          <w:lang w:eastAsia="de-DE"/>
        </w:rPr>
        <w:t>Verbandsgemeinde Traben-Trabach</w:t>
      </w:r>
      <w:bookmarkEnd w:id="30"/>
    </w:p>
    <w:tbl>
      <w:tblPr>
        <w:tblW w:w="14454"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206"/>
        <w:gridCol w:w="14247"/>
      </w:tblGrid>
      <w:tr>
        <w:trPr>
          <w:tblHeader w:val="true"/>
        </w:trPr>
        <w:tc>
          <w:tcPr>
            <w:tcW w:w="14453" w:type="dxa"/>
            <w:gridSpan w:val="2"/>
            <w:tcBorders>
              <w:top w:val="single" w:sz="4" w:space="0" w:color="000000"/>
              <w:left w:val="single" w:sz="4" w:space="0" w:color="000000"/>
              <w:bottom w:val="single" w:sz="4" w:space="0" w:color="000000"/>
              <w:right w:val="single" w:sz="4" w:space="0" w:color="000000"/>
            </w:tcBorders>
            <w:shd w:color="auto" w:fill="FFFFFF" w:val="pct12"/>
          </w:tcPr>
          <w:p>
            <w:pPr>
              <w:pStyle w:val="Normal"/>
              <w:tabs>
                <w:tab w:val="clear" w:pos="709"/>
                <w:tab w:val="left" w:pos="1875" w:leader="none"/>
              </w:tabs>
              <w:suppressAutoHyphens w:val="false"/>
              <w:ind w:right="113"/>
              <w:jc w:val="both"/>
              <w:rPr>
                <w:rFonts w:ascii="Calibri" w:hAnsi="Calibri"/>
                <w:b/>
                <w:sz w:val="22"/>
                <w:lang w:eastAsia="de-DE"/>
              </w:rPr>
            </w:pPr>
            <w:r>
              <w:rPr>
                <w:rFonts w:ascii="Calibri" w:hAnsi="Calibri"/>
                <w:b/>
                <w:sz w:val="22"/>
                <w:lang w:eastAsia="de-DE"/>
              </w:rPr>
              <w:t>Anregung</w:t>
            </w:r>
          </w:p>
        </w:tc>
      </w:tr>
      <w:tr>
        <w:trPr/>
        <w:tc>
          <w:tcPr>
            <w:tcW w:w="206" w:type="dxa"/>
            <w:tcBorders>
              <w:top w:val="single" w:sz="4" w:space="0" w:color="000000"/>
              <w:left w:val="single" w:sz="4" w:space="0" w:color="000000"/>
              <w:bottom w:val="single" w:sz="4" w:space="0" w:color="000000"/>
            </w:tcBorders>
          </w:tcPr>
          <w:p>
            <w:pPr>
              <w:pStyle w:val="Normal"/>
              <w:widowControl w:val="false"/>
              <w:tabs>
                <w:tab w:val="clear" w:pos="709"/>
                <w:tab w:val="left" w:pos="708" w:leader="none"/>
                <w:tab w:val="center" w:pos="4536" w:leader="none"/>
                <w:tab w:val="right" w:pos="9072" w:leader="none"/>
              </w:tabs>
              <w:suppressAutoHyphens w:val="false"/>
              <w:ind w:right="113"/>
              <w:jc w:val="right"/>
              <w:rPr>
                <w:rFonts w:ascii="Calibri" w:hAnsi="Calibri" w:cs="Calibri"/>
                <w:sz w:val="22"/>
                <w:szCs w:val="22"/>
                <w:lang w:eastAsia="de-DE"/>
              </w:rPr>
            </w:pPr>
            <w:r>
              <w:rPr>
                <w:rFonts w:cs="Calibri" w:ascii="Calibri" w:hAnsi="Calibri"/>
                <w:sz w:val="22"/>
                <w:szCs w:val="22"/>
                <w:lang w:eastAsia="de-DE"/>
              </w:rPr>
            </w:r>
          </w:p>
        </w:tc>
        <w:tc>
          <w:tcPr>
            <w:tcW w:w="14247" w:type="dxa"/>
            <w:tcBorders>
              <w:top w:val="single" w:sz="4" w:space="0" w:color="000000"/>
              <w:bottom w:val="single" w:sz="4" w:space="0" w:color="000000"/>
              <w:right w:val="single" w:sz="4" w:space="0" w:color="000000"/>
            </w:tcBorders>
          </w:tcPr>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Von Seiten der VG Traben-Trabach bestehen keinerlei Bedenken gegen das im Betreff genannte Bebauungsplanverfahren.</w:t>
            </w:r>
          </w:p>
        </w:tc>
      </w:tr>
    </w:tbl>
    <w:p>
      <w:pPr>
        <w:pStyle w:val="Normal"/>
        <w:suppressAutoHyphens w:val="false"/>
        <w:ind w:right="113"/>
        <w:jc w:val="both"/>
        <w:rPr>
          <w:rFonts w:ascii="Calibri" w:hAnsi="Calibri"/>
          <w:sz w:val="22"/>
          <w:lang w:eastAsia="de-DE"/>
        </w:rPr>
      </w:pPr>
      <w:r>
        <w:rPr>
          <w:rFonts w:ascii="Calibri" w:hAnsi="Calibri"/>
          <w:sz w:val="22"/>
          <w:lang w:eastAsia="de-DE"/>
        </w:rPr>
      </w:r>
    </w:p>
    <w:p>
      <w:pPr>
        <w:pStyle w:val="Normal"/>
        <w:keepNext w:val="true"/>
        <w:numPr>
          <w:ilvl w:val="0"/>
          <w:numId w:val="4"/>
        </w:numPr>
        <w:tabs>
          <w:tab w:val="clear" w:pos="709"/>
          <w:tab w:val="left" w:pos="2694" w:leader="none"/>
          <w:tab w:val="left" w:pos="8505" w:leader="none"/>
        </w:tabs>
        <w:suppressAutoHyphens w:val="false"/>
        <w:spacing w:before="360" w:after="100"/>
        <w:ind w:hanging="432" w:left="858" w:right="-29"/>
        <w:jc w:val="both"/>
        <w:outlineLvl w:val="0"/>
        <w:rPr>
          <w:rFonts w:ascii="Calibri" w:hAnsi="Calibri"/>
          <w:b/>
          <w:sz w:val="22"/>
          <w:lang w:eastAsia="de-DE"/>
        </w:rPr>
      </w:pPr>
      <w:bookmarkStart w:id="31" w:name="_Toc122069598"/>
      <w:r>
        <w:rPr>
          <w:rFonts w:ascii="Calibri" w:hAnsi="Calibri"/>
          <w:b/>
          <w:sz w:val="22"/>
          <w:lang w:eastAsia="de-DE"/>
        </w:rPr>
        <w:t>Vermessungs- und Katasteramt Westeifel-Mosel</w:t>
      </w:r>
      <w:bookmarkEnd w:id="31"/>
    </w:p>
    <w:tbl>
      <w:tblPr>
        <w:tblW w:w="14454"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206"/>
        <w:gridCol w:w="14247"/>
      </w:tblGrid>
      <w:tr>
        <w:trPr>
          <w:tblHeader w:val="true"/>
        </w:trPr>
        <w:tc>
          <w:tcPr>
            <w:tcW w:w="14453" w:type="dxa"/>
            <w:gridSpan w:val="2"/>
            <w:tcBorders>
              <w:top w:val="single" w:sz="4" w:space="0" w:color="000000"/>
              <w:left w:val="single" w:sz="4" w:space="0" w:color="000000"/>
              <w:bottom w:val="single" w:sz="4" w:space="0" w:color="000000"/>
              <w:right w:val="single" w:sz="4" w:space="0" w:color="000000"/>
            </w:tcBorders>
            <w:shd w:color="auto" w:fill="FFFFFF" w:val="pct12"/>
          </w:tcPr>
          <w:p>
            <w:pPr>
              <w:pStyle w:val="Normal"/>
              <w:tabs>
                <w:tab w:val="clear" w:pos="709"/>
                <w:tab w:val="left" w:pos="1875" w:leader="none"/>
              </w:tabs>
              <w:suppressAutoHyphens w:val="false"/>
              <w:ind w:right="113"/>
              <w:jc w:val="both"/>
              <w:rPr>
                <w:rFonts w:ascii="Calibri" w:hAnsi="Calibri"/>
                <w:b/>
                <w:sz w:val="22"/>
                <w:lang w:eastAsia="de-DE"/>
              </w:rPr>
            </w:pPr>
            <w:r>
              <w:rPr>
                <w:rFonts w:ascii="Calibri" w:hAnsi="Calibri"/>
                <w:b/>
                <w:sz w:val="22"/>
                <w:lang w:eastAsia="de-DE"/>
              </w:rPr>
              <w:t>Anregung</w:t>
            </w:r>
          </w:p>
        </w:tc>
      </w:tr>
      <w:tr>
        <w:trPr/>
        <w:tc>
          <w:tcPr>
            <w:tcW w:w="206" w:type="dxa"/>
            <w:tcBorders>
              <w:top w:val="single" w:sz="4" w:space="0" w:color="000000"/>
              <w:left w:val="single" w:sz="4" w:space="0" w:color="000000"/>
              <w:bottom w:val="single" w:sz="4" w:space="0" w:color="000000"/>
            </w:tcBorders>
          </w:tcPr>
          <w:p>
            <w:pPr>
              <w:pStyle w:val="Normal"/>
              <w:widowControl w:val="false"/>
              <w:tabs>
                <w:tab w:val="clear" w:pos="709"/>
                <w:tab w:val="left" w:pos="708" w:leader="none"/>
                <w:tab w:val="center" w:pos="4536" w:leader="none"/>
                <w:tab w:val="right" w:pos="9072" w:leader="none"/>
              </w:tabs>
              <w:suppressAutoHyphens w:val="false"/>
              <w:ind w:right="113"/>
              <w:jc w:val="right"/>
              <w:rPr>
                <w:rFonts w:ascii="Calibri" w:hAnsi="Calibri" w:cs="Calibri"/>
                <w:sz w:val="22"/>
                <w:szCs w:val="22"/>
                <w:lang w:eastAsia="de-DE"/>
              </w:rPr>
            </w:pPr>
            <w:r>
              <w:rPr>
                <w:rFonts w:cs="Calibri" w:ascii="Calibri" w:hAnsi="Calibri"/>
                <w:sz w:val="22"/>
                <w:szCs w:val="22"/>
                <w:lang w:eastAsia="de-DE"/>
              </w:rPr>
            </w:r>
          </w:p>
        </w:tc>
        <w:tc>
          <w:tcPr>
            <w:tcW w:w="14247" w:type="dxa"/>
            <w:tcBorders>
              <w:top w:val="single" w:sz="4" w:space="0" w:color="000000"/>
              <w:bottom w:val="single" w:sz="4" w:space="0" w:color="000000"/>
              <w:right w:val="single" w:sz="4" w:space="0" w:color="000000"/>
            </w:tcBorders>
          </w:tcPr>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vielen Dank für die Beteiligung am oben genannten Verfahren.</w:t>
            </w:r>
          </w:p>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Von unserer Seite werden keine Bedenken gegen die Planung vorgebrach</w:t>
            </w:r>
          </w:p>
        </w:tc>
      </w:tr>
    </w:tbl>
    <w:p>
      <w:pPr>
        <w:pStyle w:val="Normal"/>
        <w:suppressAutoHyphens w:val="false"/>
        <w:ind w:right="113"/>
        <w:jc w:val="both"/>
        <w:rPr>
          <w:rFonts w:ascii="Calibri" w:hAnsi="Calibri"/>
          <w:sz w:val="22"/>
          <w:lang w:eastAsia="de-DE"/>
        </w:rPr>
      </w:pPr>
      <w:r>
        <w:rPr>
          <w:rFonts w:ascii="Calibri" w:hAnsi="Calibri"/>
          <w:sz w:val="22"/>
          <w:lang w:eastAsia="de-DE"/>
        </w:rPr>
      </w:r>
    </w:p>
    <w:p>
      <w:pPr>
        <w:pStyle w:val="Normal"/>
        <w:keepNext w:val="true"/>
        <w:numPr>
          <w:ilvl w:val="0"/>
          <w:numId w:val="46"/>
        </w:numPr>
        <w:tabs>
          <w:tab w:val="clear" w:pos="709"/>
          <w:tab w:val="left" w:pos="2694" w:leader="none"/>
          <w:tab w:val="left" w:pos="8505" w:leader="none"/>
        </w:tabs>
        <w:suppressAutoHyphens w:val="false"/>
        <w:spacing w:before="360" w:after="100"/>
        <w:ind w:hanging="432" w:left="858" w:right="-29"/>
        <w:jc w:val="both"/>
        <w:outlineLvl w:val="0"/>
        <w:rPr>
          <w:rFonts w:ascii="Calibri" w:hAnsi="Calibri"/>
          <w:b/>
          <w:sz w:val="22"/>
          <w:lang w:eastAsia="de-DE"/>
        </w:rPr>
      </w:pPr>
      <w:bookmarkStart w:id="32" w:name="_Toc122069599"/>
      <w:r>
        <w:rPr>
          <w:rFonts w:ascii="Calibri" w:hAnsi="Calibri"/>
          <w:b/>
          <w:sz w:val="22"/>
          <w:lang w:eastAsia="de-DE"/>
        </w:rPr>
        <w:t>Wasserstraßen- und Schifffahrtsamt Mosel-Saar-Lahn, Standort Trier</w:t>
      </w:r>
      <w:bookmarkEnd w:id="32"/>
    </w:p>
    <w:tbl>
      <w:tblPr>
        <w:tblW w:w="14454"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206"/>
        <w:gridCol w:w="14247"/>
      </w:tblGrid>
      <w:tr>
        <w:trPr>
          <w:tblHeader w:val="true"/>
        </w:trPr>
        <w:tc>
          <w:tcPr>
            <w:tcW w:w="14453" w:type="dxa"/>
            <w:gridSpan w:val="2"/>
            <w:tcBorders>
              <w:top w:val="single" w:sz="4" w:space="0" w:color="000000"/>
              <w:left w:val="single" w:sz="4" w:space="0" w:color="000000"/>
              <w:bottom w:val="single" w:sz="4" w:space="0" w:color="000000"/>
              <w:right w:val="single" w:sz="4" w:space="0" w:color="000000"/>
            </w:tcBorders>
            <w:shd w:color="auto" w:fill="FFFFFF" w:val="pct12"/>
          </w:tcPr>
          <w:p>
            <w:pPr>
              <w:pStyle w:val="Normal"/>
              <w:tabs>
                <w:tab w:val="clear" w:pos="709"/>
                <w:tab w:val="left" w:pos="1875" w:leader="none"/>
              </w:tabs>
              <w:suppressAutoHyphens w:val="false"/>
              <w:ind w:right="113"/>
              <w:jc w:val="both"/>
              <w:rPr>
                <w:rFonts w:ascii="Calibri" w:hAnsi="Calibri"/>
                <w:b/>
                <w:sz w:val="22"/>
                <w:lang w:eastAsia="de-DE"/>
              </w:rPr>
            </w:pPr>
            <w:r>
              <w:rPr>
                <w:rFonts w:ascii="Calibri" w:hAnsi="Calibri"/>
                <w:b/>
                <w:sz w:val="22"/>
                <w:lang w:eastAsia="de-DE"/>
              </w:rPr>
              <w:t>Anregung</w:t>
            </w:r>
          </w:p>
        </w:tc>
      </w:tr>
      <w:tr>
        <w:trPr/>
        <w:tc>
          <w:tcPr>
            <w:tcW w:w="206" w:type="dxa"/>
            <w:tcBorders>
              <w:top w:val="single" w:sz="4" w:space="0" w:color="000000"/>
              <w:left w:val="single" w:sz="4" w:space="0" w:color="000000"/>
              <w:bottom w:val="single" w:sz="4" w:space="0" w:color="000000"/>
            </w:tcBorders>
          </w:tcPr>
          <w:p>
            <w:pPr>
              <w:pStyle w:val="Normal"/>
              <w:widowControl w:val="false"/>
              <w:tabs>
                <w:tab w:val="clear" w:pos="709"/>
                <w:tab w:val="left" w:pos="708" w:leader="none"/>
                <w:tab w:val="center" w:pos="4536" w:leader="none"/>
                <w:tab w:val="right" w:pos="9072" w:leader="none"/>
              </w:tabs>
              <w:suppressAutoHyphens w:val="false"/>
              <w:ind w:right="113"/>
              <w:jc w:val="right"/>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r>
          </w:p>
        </w:tc>
        <w:tc>
          <w:tcPr>
            <w:tcW w:w="14247" w:type="dxa"/>
            <w:tcBorders>
              <w:top w:val="single" w:sz="4" w:space="0" w:color="000000"/>
              <w:bottom w:val="single" w:sz="4" w:space="0" w:color="000000"/>
              <w:right w:val="single" w:sz="4" w:space="0" w:color="000000"/>
            </w:tcBorders>
          </w:tcPr>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gegen den Bebauungsplan „Hinter Goldschmitsgraben“ in der Ortsgemeinde Lieser bestehen keine Bedenken.</w:t>
            </w:r>
          </w:p>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Es werden keine vom Wasserstraßen- und Schifffahrtsamt Mosel-Saar-Lahn zu vertretenden Belange der Wasserstraßen- und Schifffahrtsverwaltung (WSV) des Bundes berührt.</w:t>
            </w:r>
          </w:p>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Planungen oder sonstige Maßnahmen in dem ausgewiesenen Plangebiet bestehen seitens des Wasserstraßen- und Schifffahrtsamtes Mosel-Saar-Lahn nicht.</w:t>
            </w:r>
          </w:p>
        </w:tc>
      </w:tr>
    </w:tbl>
    <w:p>
      <w:pPr>
        <w:pStyle w:val="Normal"/>
        <w:suppressAutoHyphens w:val="false"/>
        <w:ind w:right="113"/>
        <w:jc w:val="both"/>
        <w:rPr>
          <w:rFonts w:ascii="Calibri" w:hAnsi="Calibri"/>
          <w:sz w:val="22"/>
          <w:lang w:eastAsia="de-DE"/>
        </w:rPr>
      </w:pPr>
      <w:r>
        <w:rPr>
          <w:rFonts w:ascii="Calibri" w:hAnsi="Calibri"/>
          <w:sz w:val="22"/>
          <w:lang w:eastAsia="de-DE"/>
        </w:rPr>
      </w:r>
    </w:p>
    <w:p>
      <w:pPr>
        <w:pStyle w:val="Normal"/>
        <w:suppressAutoHyphens w:val="false"/>
        <w:ind w:right="113"/>
        <w:jc w:val="both"/>
        <w:rPr>
          <w:rFonts w:ascii="Calibri" w:hAnsi="Calibri"/>
          <w:sz w:val="22"/>
          <w:lang w:eastAsia="de-DE"/>
        </w:rPr>
      </w:pPr>
      <w:r>
        <w:rPr>
          <w:rFonts w:ascii="Calibri" w:hAnsi="Calibri"/>
          <w:sz w:val="22"/>
          <w:lang w:eastAsia="de-DE"/>
        </w:rPr>
      </w:r>
    </w:p>
    <w:p>
      <w:pPr>
        <w:pStyle w:val="Normal"/>
        <w:suppressAutoHyphens w:val="false"/>
        <w:rPr>
          <w:rFonts w:ascii="Calibri" w:hAnsi="Calibri"/>
          <w:sz w:val="22"/>
          <w:lang w:eastAsia="de-DE"/>
        </w:rPr>
      </w:pPr>
      <w:r>
        <w:rPr>
          <w:rFonts w:ascii="Calibri" w:hAnsi="Calibri"/>
          <w:sz w:val="22"/>
          <w:lang w:eastAsia="de-DE"/>
        </w:rPr>
      </w:r>
      <w:r>
        <w:br w:type="page"/>
      </w:r>
    </w:p>
    <w:p>
      <w:pPr>
        <w:pStyle w:val="Normal"/>
        <w:suppressAutoHyphens w:val="false"/>
        <w:spacing w:before="0" w:after="240"/>
        <w:ind w:right="113"/>
        <w:jc w:val="both"/>
        <w:rPr>
          <w:rFonts w:ascii="Calibri" w:hAnsi="Calibri"/>
          <w:sz w:val="24"/>
          <w:lang w:eastAsia="de-DE"/>
        </w:rPr>
      </w:pPr>
      <w:r>
        <w:rPr>
          <w:rFonts w:ascii="Calibri" w:hAnsi="Calibri"/>
          <w:sz w:val="24"/>
          <w:lang w:eastAsia="de-DE"/>
        </w:rPr>
        <w:t>Zudem lag der Vorentwurf des Bebauungsplans gemäß § 3 Abs. 2 BauGB vom 04.11.2022 bis einschließlich 05.12.2022 bei der Verbandsgemeindeverwaltung Bernkastel-Kues zur öffentlichen Einsichtnahme aus.</w:t>
      </w:r>
    </w:p>
    <w:p>
      <w:pPr>
        <w:pStyle w:val="Normal"/>
        <w:suppressAutoHyphens w:val="false"/>
        <w:spacing w:before="0" w:after="240"/>
        <w:ind w:right="113"/>
        <w:jc w:val="both"/>
        <w:rPr>
          <w:rFonts w:ascii="Calibri" w:hAnsi="Calibri"/>
          <w:b/>
          <w:sz w:val="24"/>
          <w:lang w:eastAsia="de-DE"/>
        </w:rPr>
      </w:pPr>
      <w:r>
        <w:rPr>
          <w:rFonts w:ascii="Calibri" w:hAnsi="Calibri"/>
          <w:b/>
          <w:sz w:val="24"/>
          <w:lang w:eastAsia="de-DE"/>
        </w:rPr>
        <w:t>Folgende Stellungnahmen wurden von der Öffentlichkeit abgegeben:</w:t>
      </w:r>
    </w:p>
    <w:p>
      <w:pPr>
        <w:pStyle w:val="Normal"/>
        <w:keepNext w:val="true"/>
        <w:numPr>
          <w:ilvl w:val="0"/>
          <w:numId w:val="47"/>
        </w:numPr>
        <w:tabs>
          <w:tab w:val="clear" w:pos="709"/>
          <w:tab w:val="left" w:pos="2694" w:leader="none"/>
          <w:tab w:val="left" w:pos="8505" w:leader="none"/>
        </w:tabs>
        <w:suppressAutoHyphens w:val="false"/>
        <w:spacing w:before="360" w:after="100"/>
        <w:ind w:hanging="432" w:left="858" w:right="-29"/>
        <w:jc w:val="both"/>
        <w:outlineLvl w:val="0"/>
        <w:rPr>
          <w:rFonts w:ascii="Calibri" w:hAnsi="Calibri"/>
          <w:b/>
          <w:sz w:val="22"/>
          <w:lang w:eastAsia="de-DE"/>
        </w:rPr>
      </w:pPr>
      <w:r>
        <w:rPr>
          <w:rFonts w:ascii="Calibri" w:hAnsi="Calibri"/>
          <w:b/>
          <w:sz w:val="22"/>
          <w:lang w:eastAsia="de-DE"/>
        </w:rPr>
        <w:t>Privat 1</w:t>
      </w:r>
    </w:p>
    <w:tbl>
      <w:tblPr>
        <w:tblW w:w="14454"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206"/>
        <w:gridCol w:w="14247"/>
      </w:tblGrid>
      <w:tr>
        <w:trPr>
          <w:tblHeader w:val="true"/>
        </w:trPr>
        <w:tc>
          <w:tcPr>
            <w:tcW w:w="14453" w:type="dxa"/>
            <w:gridSpan w:val="2"/>
            <w:tcBorders>
              <w:top w:val="single" w:sz="4" w:space="0" w:color="000000"/>
              <w:left w:val="single" w:sz="4" w:space="0" w:color="000000"/>
              <w:bottom w:val="single" w:sz="4" w:space="0" w:color="000000"/>
              <w:right w:val="single" w:sz="4" w:space="0" w:color="000000"/>
            </w:tcBorders>
            <w:shd w:color="auto" w:fill="FFFFFF" w:val="pct12"/>
          </w:tcPr>
          <w:p>
            <w:pPr>
              <w:pStyle w:val="Normal"/>
              <w:tabs>
                <w:tab w:val="clear" w:pos="709"/>
                <w:tab w:val="left" w:pos="1875" w:leader="none"/>
              </w:tabs>
              <w:suppressAutoHyphens w:val="false"/>
              <w:ind w:right="113"/>
              <w:jc w:val="both"/>
              <w:rPr>
                <w:rFonts w:ascii="Calibri" w:hAnsi="Calibri"/>
                <w:b/>
                <w:sz w:val="22"/>
                <w:lang w:eastAsia="de-DE"/>
              </w:rPr>
            </w:pPr>
            <w:r>
              <w:rPr>
                <w:rFonts w:ascii="Calibri" w:hAnsi="Calibri"/>
                <w:b/>
                <w:sz w:val="22"/>
                <w:lang w:eastAsia="de-DE"/>
              </w:rPr>
              <w:t>Anregung</w:t>
            </w:r>
          </w:p>
        </w:tc>
      </w:tr>
      <w:tr>
        <w:trPr/>
        <w:tc>
          <w:tcPr>
            <w:tcW w:w="206" w:type="dxa"/>
            <w:tcBorders>
              <w:top w:val="single" w:sz="4" w:space="0" w:color="000000"/>
              <w:left w:val="single" w:sz="4" w:space="0" w:color="000000"/>
              <w:bottom w:val="single" w:sz="4" w:space="0" w:color="000000"/>
            </w:tcBorders>
          </w:tcPr>
          <w:p>
            <w:pPr>
              <w:pStyle w:val="Normal"/>
              <w:widowControl w:val="false"/>
              <w:tabs>
                <w:tab w:val="clear" w:pos="709"/>
                <w:tab w:val="left" w:pos="708" w:leader="none"/>
                <w:tab w:val="center" w:pos="4536" w:leader="none"/>
                <w:tab w:val="right" w:pos="9072" w:leader="none"/>
              </w:tabs>
              <w:suppressAutoHyphens w:val="false"/>
              <w:ind w:right="113"/>
              <w:jc w:val="right"/>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r>
          </w:p>
        </w:tc>
        <w:tc>
          <w:tcPr>
            <w:tcW w:w="14247" w:type="dxa"/>
            <w:tcBorders>
              <w:top w:val="single" w:sz="4" w:space="0" w:color="000000"/>
              <w:bottom w:val="single" w:sz="4" w:space="0" w:color="000000"/>
              <w:right w:val="single" w:sz="4" w:space="0" w:color="000000"/>
            </w:tcBorders>
          </w:tcPr>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Sehr geehrte Damen und Herren,</w:t>
            </w:r>
          </w:p>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vor drei Jahren haben wir unseren neuen Weinkeller/-halle privilegiert im Außenbereich errichtet, da es innerorts keine geeignete Fläche zum Bebauen gab.</w:t>
            </w:r>
          </w:p>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Unser Weinkeller stand schon bevor der Flächennutzungsplan fortgeschrieben wurde.</w:t>
            </w:r>
          </w:p>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Für uns stellt sich nun die Frage, wie ein zukünftiges Neubaugebiet sich mit unserem Arbeitsalltag verhalten wird. Als Dorfgebiet ist die Landwirtschaft zwar ausdrücklich gewünscht, dennoch bringt diese Arbeit natürlich auch Abläufe mit sich, die von zukünftigen Bauherren bzw. Mietern evtl. als störend empfunden werden könnten. Hier möchten wir Lärm durch Maschinen, wie bspw. Traktoren, Kühlung oder Lüftung nennen, wie auch Gerüche durch bspw. Trester oder Gärgase. Ebenso finden auch Tätigkeiten außerhalb der üblichen Arbeitszeiten statt. Wir leben zwar in einer Weinbauregion, so dass der Mehrheit der Menschen dies bewusst sein sollte, dennoch kommt es vor, dass sich der ein oder andere daran aufreibt und wir dies daher vorher zur Sprache bringen möchten.</w:t>
            </w:r>
          </w:p>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Für uns und unseren Betrieb ist es von keinerlei Interesse im beplanten Gebiet integriert zu sein. Dies geschah auf Wunsch des Planers, um ein Dorfgebiet realisieren zu können. Dem gegenüber waren wir jederzeit offen eingestellt. Doch bis heute haben wir keinerlei verbindliche Aussagen erhalten, welche Konsequenzen dies für unser Grundstück und Gebäude haben würde. Hierzu haben Gespräche mit dem Ortsbürgermeister stattgefunden, der auch an die Verbandsgemeinde herangetreten ist.</w:t>
            </w:r>
          </w:p>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Für uns stellt sich die Frage, ob die Beplanung des Bereichs MD2 und MD3 den allgemeinen Belangen dienlich sind oder einzelne Interessen verfolgen.</w:t>
            </w:r>
          </w:p>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Folgende Aspekte sind bisher unbeantwortet:</w:t>
            </w:r>
          </w:p>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-Erschließungskosten?</w:t>
            </w:r>
          </w:p>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-Immission?</w:t>
            </w:r>
          </w:p>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-Bestandsschutz bei den Themen Versiegelung, Entwässerung, Wiederkehrende Beiträge (Verkehrsanlagen)?</w:t>
            </w:r>
          </w:p>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Im benachbarten geplanten MD2 sollen Mehrfamilienobjekte und mind. ein Gewerbe entstehen. Die Bedenken, dass Anwohner sich an unserer Arbeit stören, wurden oben bereits erläutert.</w:t>
            </w:r>
          </w:p>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Unklar ist weiterhin, wie in MD2 gebaut werden soll und ob damit einhergehend die Straße unterhalb unserer Halle (Verlängerung Beethovenstraße) ausgebaut wird. Hier sehen wir nicht das Allgemeinwohl vordergründig, sondern die Interessen des Bauherrn des MD2. Für uns ist der landwirtschaftliche Weg (ohne Beleuchtung und Asphalt) vollkommen ausreichend. Die Kosten jedoch würden von allen Anliegern gezahlt werden müssen.</w:t>
            </w:r>
          </w:p>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Oberhalb unseres Grundstückes sollen Einfamilienhäuser entstehen und die Verlängerung Mozartstraße soll vollzogen werden. Hier ist für die Länge unseres Grundstücks ein Grünstreifen geplant, der uns vom Baugebiet insofern abgrenzt, dass eine Erschließung straßenseitig nach unten nicht erfolgt. Auch hierzu benötigen wir noch eine schriftliche Bestätigung.</w:t>
            </w:r>
          </w:p>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Ein Gutachten für die Stabilität unserer Böschung ist vorgesehen. Wir drängen auf eine Zusage, dass die Kosten hierfür nicht zu unseren Lasten gehen, ebenso eine eventuelle Hang-und Absturzsicherung bzw. Kostenübernahmen bei Schäden während der Bauphasen.</w:t>
            </w:r>
          </w:p>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Auch betriebliche Erweiterungen auf dem Gelände zu landwirtschaftlichen Zwecken müssen weiterhin gewährleistet bleiben (bspw. Maschinenunterstand).</w:t>
            </w:r>
          </w:p>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In Punkt 2.1 des Entwurfs des Bebauungsplans vom 28.10.22 heißt es, dass die Außenfassaden verputzt sein müssen, in unserem Fall gehen wir von Bestandsschutz aus.</w:t>
            </w:r>
          </w:p>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Wir bitten um ausführliche und vollständige Auskunft zu den genannten Punkten, ebenso zu Aspekten, die uns betreffen, die wir noch nicht ermessen können.</w:t>
            </w:r>
            <w:bookmarkStart w:id="33" w:name="_Hlk170283257"/>
            <w:bookmarkEnd w:id="33"/>
          </w:p>
        </w:tc>
      </w:tr>
    </w:tbl>
    <w:p>
      <w:pPr>
        <w:pStyle w:val="Normal"/>
        <w:suppressAutoHyphens w:val="false"/>
        <w:spacing w:before="0" w:after="240"/>
        <w:ind w:right="113"/>
        <w:jc w:val="both"/>
        <w:rPr>
          <w:rFonts w:ascii="Calibri" w:hAnsi="Calibri"/>
          <w:b/>
          <w:sz w:val="24"/>
          <w:lang w:eastAsia="de-DE"/>
        </w:rPr>
      </w:pPr>
      <w:r>
        <w:rPr>
          <w:rFonts w:ascii="Calibri" w:hAnsi="Calibri"/>
          <w:b/>
          <w:sz w:val="24"/>
          <w:lang w:eastAsia="de-DE"/>
        </w:rPr>
      </w:r>
    </w:p>
    <w:p>
      <w:pPr>
        <w:pStyle w:val="Normal"/>
        <w:keepNext w:val="true"/>
        <w:numPr>
          <w:ilvl w:val="0"/>
          <w:numId w:val="48"/>
        </w:numPr>
        <w:tabs>
          <w:tab w:val="clear" w:pos="709"/>
          <w:tab w:val="left" w:pos="2694" w:leader="none"/>
          <w:tab w:val="left" w:pos="8505" w:leader="none"/>
        </w:tabs>
        <w:suppressAutoHyphens w:val="false"/>
        <w:spacing w:before="360" w:after="100"/>
        <w:ind w:hanging="432" w:left="858" w:right="-29"/>
        <w:jc w:val="both"/>
        <w:outlineLvl w:val="0"/>
        <w:rPr>
          <w:rFonts w:ascii="Calibri" w:hAnsi="Calibri"/>
          <w:b/>
          <w:sz w:val="22"/>
          <w:lang w:eastAsia="de-DE"/>
        </w:rPr>
      </w:pPr>
      <w:r>
        <w:rPr>
          <w:rFonts w:ascii="Calibri" w:hAnsi="Calibri"/>
          <w:b/>
          <w:sz w:val="22"/>
          <w:lang w:eastAsia="de-DE"/>
        </w:rPr>
        <w:t>Privat 2</w:t>
      </w:r>
    </w:p>
    <w:tbl>
      <w:tblPr>
        <w:tblW w:w="14454"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206"/>
        <w:gridCol w:w="14247"/>
      </w:tblGrid>
      <w:tr>
        <w:trPr>
          <w:tblHeader w:val="true"/>
        </w:trPr>
        <w:tc>
          <w:tcPr>
            <w:tcW w:w="14453" w:type="dxa"/>
            <w:gridSpan w:val="2"/>
            <w:tcBorders>
              <w:top w:val="single" w:sz="4" w:space="0" w:color="000000"/>
              <w:left w:val="single" w:sz="4" w:space="0" w:color="000000"/>
              <w:bottom w:val="single" w:sz="4" w:space="0" w:color="000000"/>
              <w:right w:val="single" w:sz="4" w:space="0" w:color="000000"/>
            </w:tcBorders>
            <w:shd w:color="auto" w:fill="FFFFFF" w:val="pct12"/>
          </w:tcPr>
          <w:p>
            <w:pPr>
              <w:pStyle w:val="Normal"/>
              <w:tabs>
                <w:tab w:val="clear" w:pos="709"/>
                <w:tab w:val="left" w:pos="1875" w:leader="none"/>
              </w:tabs>
              <w:suppressAutoHyphens w:val="false"/>
              <w:ind w:right="113"/>
              <w:jc w:val="both"/>
              <w:rPr>
                <w:rFonts w:ascii="Calibri" w:hAnsi="Calibri"/>
                <w:b/>
                <w:sz w:val="22"/>
                <w:lang w:eastAsia="de-DE"/>
              </w:rPr>
            </w:pPr>
            <w:r>
              <w:rPr>
                <w:rFonts w:ascii="Calibri" w:hAnsi="Calibri"/>
                <w:b/>
                <w:sz w:val="22"/>
                <w:lang w:eastAsia="de-DE"/>
              </w:rPr>
              <w:t>Anregung</w:t>
            </w:r>
          </w:p>
        </w:tc>
      </w:tr>
      <w:tr>
        <w:trPr/>
        <w:tc>
          <w:tcPr>
            <w:tcW w:w="206" w:type="dxa"/>
            <w:tcBorders>
              <w:top w:val="single" w:sz="4" w:space="0" w:color="000000"/>
              <w:left w:val="single" w:sz="4" w:space="0" w:color="000000"/>
              <w:bottom w:val="single" w:sz="4" w:space="0" w:color="000000"/>
            </w:tcBorders>
          </w:tcPr>
          <w:p>
            <w:pPr>
              <w:pStyle w:val="Normal"/>
              <w:widowControl w:val="false"/>
              <w:tabs>
                <w:tab w:val="clear" w:pos="709"/>
                <w:tab w:val="left" w:pos="708" w:leader="none"/>
                <w:tab w:val="center" w:pos="4536" w:leader="none"/>
                <w:tab w:val="right" w:pos="9072" w:leader="none"/>
              </w:tabs>
              <w:suppressAutoHyphens w:val="false"/>
              <w:ind w:right="113"/>
              <w:jc w:val="right"/>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r>
          </w:p>
        </w:tc>
        <w:tc>
          <w:tcPr>
            <w:tcW w:w="14247" w:type="dxa"/>
            <w:tcBorders>
              <w:top w:val="single" w:sz="4" w:space="0" w:color="000000"/>
              <w:bottom w:val="single" w:sz="4" w:space="0" w:color="000000"/>
              <w:right w:val="single" w:sz="4" w:space="0" w:color="000000"/>
            </w:tcBorders>
          </w:tcPr>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die Projektgruppe „Starkregenvorsorge Lieser" bittet auf Basis eines Mehrheitsbeschlusses um Überprüfung und Änderung folgender Punkte im o.g. Bebauungsplan. Dabei geht es u.a. um die Berücksichtigung der Handlungsempfehlungen Klimaschutz und Klimaanpassung in der Bauleitplanung der VG vom 1.9.22, die beim Beschluss des Verbandsgemeinderates vom September 2022 noch nicht berücksichtigt wurden, aber unbedingt Bestandteil der Planung sein müssen.</w:t>
            </w:r>
          </w:p>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1)</w:t>
              <w:tab/>
              <w:t>Im Starkregen- und Hochwasservorsorgekonzept des Ingenieurbüros Reihsner von 2021 wurde auf die besondere Starkregen- und Erosionsgefährdung des Gebiets hingewiesen. Daher sind zumindest die Wassermengen aus dem oberhalb liegendem, kleinem Quellgebiet zusätzlich zu berücksichtigen.,</w:t>
            </w:r>
          </w:p>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2)</w:t>
              <w:tab/>
              <w:t>Das geplante Rückhaltebecken mit gut 600 m3 Inhalt ist für 50 mm (= 50 Ltr/m2) Niederschlag ausgelegt. Der Starkregen vom Juni 1992 hatte z.B. 100 mm. Zudem ist die Effektivität des Beckens ungewiss, da die Versickerung aus dem Becken nur 10 m vom Paulsbach entfernt erfolgt und so die Möglichkeit der zeitlichen Überlagerung mit der Welle aus dem natürlichen Paulsbach-Einzugsgebiet besteht.</w:t>
            </w:r>
          </w:p>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3)</w:t>
              <w:tab/>
              <w:t>Alle Wassermengen müssen durch die Engstelle des Einlaufs der Paulsbach¬verrohrung nahe dem Kindergarten, wo bei Großschadensereignissen aufgrund einer Risikoeinschätzung auch Todesopfer nicht ausgeschlossen werden können. Deshalb sind alle Möglichkeiten auszuschöpfen, die Abflussverschärfung durch das Neubaugebiet auszugleichen bzw. zu minimieren. Seit dem Moselhochwasser vom Juli 2021 erscheint auch ein Zusammentreffen mit einem Starkregenereignis wie im Juni 1992 möglich. In einem solchen Fall würde das Unterdorf volllaufen, da Bachverrohrung und Pumpwerk überlastet wären.</w:t>
            </w:r>
          </w:p>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4)</w:t>
              <w:tab/>
              <w:t>Die Projektgruppe fordert deshalb zur Reduzierung der verschärften Regenwassserabflüsse:</w:t>
            </w:r>
          </w:p>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a. Für alle Neubauten (wie in Trier (s. Anlage) und gemäß o.g. Handlungsempfehlungen der VG) begrünte Flachdächer vorzuschreiben. Flachdächer bieten zudem die Möglichkeit, PV-Anlagen nach Süden auszurichten, ermöglichen wegen der vorgeschriebenen Firsthöhe ein zusätzliches Wohngeschoss, können als Filter für eine nachgeschaltete Regenwassernutzung dienen und/oder ermöglichen eine Versickerung des Gründachüberlaufs, um so eine Regenwasserleitung einzusparen (die Versickerung eines unverminderten Ablaufs von Satteldächern ist wegen der Hanglage nicht machbar).</w:t>
            </w:r>
          </w:p>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b.</w:t>
              <w:tab/>
              <w:t>Dem ohnehin geplanten Rückhaltebecken ein weiteres von ca. 200 m3 vorzuschalten, dass allerdings gedichtet ist und für Winzer Bewässerungswasser bereitstellt.</w:t>
            </w:r>
          </w:p>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c.</w:t>
              <w:tab/>
              <w:t>Die Umsetzung des geplanten Rückhaltebeckens „Brückgraben" vorrangig anzugehen.</w:t>
            </w:r>
          </w:p>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t>Ausführlichere Begründungen finden sich in dem beigefügten Vortrag, durch den die Starkregengruppe am 2.11. vor dem Bauausschuss zum Neubaugebiet Stellung genommen hatte.</w:t>
            </w:r>
          </w:p>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drawing>
                <wp:inline distT="0" distB="0" distL="0" distR="0">
                  <wp:extent cx="6115050" cy="8048625"/>
                  <wp:effectExtent l="0" t="0" r="0" b="0"/>
                  <wp:docPr id="2" name="Grafik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4" descr=""/>
                          <pic:cNvPicPr>
                            <a:picLocks noChangeAspect="1" noChangeArrowheads="1"/>
                          </pic:cNvPicPr>
                        </pic:nvPicPr>
                        <pic:blipFill>
                          <a:blip r:embed="rId8"/>
                          <a:stretch>
                            <a:fillRect/>
                          </a:stretch>
                        </pic:blipFill>
                        <pic:spPr bwMode="auto">
                          <a:xfrm>
                            <a:off x="0" y="0"/>
                            <a:ext cx="6115050" cy="8048625"/>
                          </a:xfrm>
                          <a:prstGeom prst="rect">
                            <a:avLst/>
                          </a:prstGeom>
                        </pic:spPr>
                      </pic:pic>
                    </a:graphicData>
                  </a:graphic>
                </wp:inline>
              </w:drawing>
            </w:r>
          </w:p>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drawing>
                <wp:inline distT="0" distB="0" distL="0" distR="0">
                  <wp:extent cx="4514850" cy="6572250"/>
                  <wp:effectExtent l="0" t="0" r="0" b="0"/>
                  <wp:docPr id="3" name="Grafik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7" descr=""/>
                          <pic:cNvPicPr>
                            <a:picLocks noChangeAspect="1" noChangeArrowheads="1"/>
                          </pic:cNvPicPr>
                        </pic:nvPicPr>
                        <pic:blipFill>
                          <a:blip r:embed="rId9"/>
                          <a:stretch>
                            <a:fillRect/>
                          </a:stretch>
                        </pic:blipFill>
                        <pic:spPr bwMode="auto">
                          <a:xfrm>
                            <a:off x="0" y="0"/>
                            <a:ext cx="4514850" cy="6572250"/>
                          </a:xfrm>
                          <a:prstGeom prst="rect">
                            <a:avLst/>
                          </a:prstGeom>
                        </pic:spPr>
                      </pic:pic>
                    </a:graphicData>
                  </a:graphic>
                </wp:inline>
              </w:drawing>
            </w:r>
          </w:p>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drawing>
                <wp:inline distT="0" distB="0" distL="0" distR="0">
                  <wp:extent cx="6086475" cy="2876550"/>
                  <wp:effectExtent l="0" t="0" r="0" b="0"/>
                  <wp:docPr id="4" name="Grafik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9" descr=""/>
                          <pic:cNvPicPr>
                            <a:picLocks noChangeAspect="1" noChangeArrowheads="1"/>
                          </pic:cNvPicPr>
                        </pic:nvPicPr>
                        <pic:blipFill>
                          <a:blip r:embed="rId10"/>
                          <a:stretch>
                            <a:fillRect/>
                          </a:stretch>
                        </pic:blipFill>
                        <pic:spPr bwMode="auto">
                          <a:xfrm>
                            <a:off x="0" y="0"/>
                            <a:ext cx="6086475" cy="2876550"/>
                          </a:xfrm>
                          <a:prstGeom prst="rect">
                            <a:avLst/>
                          </a:prstGeom>
                        </pic:spPr>
                      </pic:pic>
                    </a:graphicData>
                  </a:graphic>
                </wp:inline>
              </w:drawing>
            </w:r>
          </w:p>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drawing>
                <wp:inline distT="0" distB="0" distL="0" distR="0">
                  <wp:extent cx="4152900" cy="6562725"/>
                  <wp:effectExtent l="0" t="0" r="0" b="0"/>
                  <wp:docPr id="5" name="Grafik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10" descr=""/>
                          <pic:cNvPicPr>
                            <a:picLocks noChangeAspect="1" noChangeArrowheads="1"/>
                          </pic:cNvPicPr>
                        </pic:nvPicPr>
                        <pic:blipFill>
                          <a:blip r:embed="rId11"/>
                          <a:stretch>
                            <a:fillRect/>
                          </a:stretch>
                        </pic:blipFill>
                        <pic:spPr bwMode="auto">
                          <a:xfrm>
                            <a:off x="0" y="0"/>
                            <a:ext cx="4152900" cy="6562725"/>
                          </a:xfrm>
                          <a:prstGeom prst="rect">
                            <a:avLst/>
                          </a:prstGeom>
                        </pic:spPr>
                      </pic:pic>
                    </a:graphicData>
                  </a:graphic>
                </wp:inline>
              </w:drawing>
            </w:r>
          </w:p>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drawing>
                <wp:inline distT="0" distB="0" distL="0" distR="0">
                  <wp:extent cx="4152900" cy="6562725"/>
                  <wp:effectExtent l="0" t="0" r="0" b="0"/>
                  <wp:docPr id="6" name="Grafik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11" descr=""/>
                          <pic:cNvPicPr>
                            <a:picLocks noChangeAspect="1" noChangeArrowheads="1"/>
                          </pic:cNvPicPr>
                        </pic:nvPicPr>
                        <pic:blipFill>
                          <a:blip r:embed="rId12"/>
                          <a:stretch>
                            <a:fillRect/>
                          </a:stretch>
                        </pic:blipFill>
                        <pic:spPr bwMode="auto">
                          <a:xfrm>
                            <a:off x="0" y="0"/>
                            <a:ext cx="4152900" cy="6562725"/>
                          </a:xfrm>
                          <a:prstGeom prst="rect">
                            <a:avLst/>
                          </a:prstGeom>
                        </pic:spPr>
                      </pic:pic>
                    </a:graphicData>
                  </a:graphic>
                </wp:inline>
              </w:drawing>
            </w:r>
          </w:p>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drawing>
                <wp:inline distT="0" distB="0" distL="0" distR="0">
                  <wp:extent cx="4486275" cy="6572250"/>
                  <wp:effectExtent l="0" t="0" r="0" b="0"/>
                  <wp:docPr id="7" name="Grafik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12" descr=""/>
                          <pic:cNvPicPr>
                            <a:picLocks noChangeAspect="1" noChangeArrowheads="1"/>
                          </pic:cNvPicPr>
                        </pic:nvPicPr>
                        <pic:blipFill>
                          <a:blip r:embed="rId13"/>
                          <a:stretch>
                            <a:fillRect/>
                          </a:stretch>
                        </pic:blipFill>
                        <pic:spPr bwMode="auto">
                          <a:xfrm>
                            <a:off x="0" y="0"/>
                            <a:ext cx="4486275" cy="6572250"/>
                          </a:xfrm>
                          <a:prstGeom prst="rect">
                            <a:avLst/>
                          </a:prstGeom>
                        </pic:spPr>
                      </pic:pic>
                    </a:graphicData>
                  </a:graphic>
                </wp:inline>
              </w:drawing>
            </w:r>
          </w:p>
        </w:tc>
      </w:tr>
    </w:tbl>
    <w:p>
      <w:pPr>
        <w:pStyle w:val="Normal"/>
        <w:suppressAutoHyphens w:val="false"/>
        <w:spacing w:before="0" w:after="240"/>
        <w:ind w:right="113"/>
        <w:jc w:val="both"/>
        <w:rPr>
          <w:rFonts w:ascii="Calibri" w:hAnsi="Calibri"/>
          <w:b/>
          <w:sz w:val="24"/>
          <w:lang w:eastAsia="de-DE"/>
        </w:rPr>
      </w:pPr>
      <w:r>
        <w:rPr>
          <w:rFonts w:ascii="Calibri" w:hAnsi="Calibri"/>
          <w:b/>
          <w:sz w:val="24"/>
          <w:lang w:eastAsia="de-DE"/>
        </w:rPr>
      </w:r>
    </w:p>
    <w:p>
      <w:pPr>
        <w:pStyle w:val="Normal"/>
        <w:keepNext w:val="true"/>
        <w:numPr>
          <w:ilvl w:val="0"/>
          <w:numId w:val="49"/>
        </w:numPr>
        <w:tabs>
          <w:tab w:val="clear" w:pos="709"/>
          <w:tab w:val="left" w:pos="2694" w:leader="none"/>
          <w:tab w:val="left" w:pos="8505" w:leader="none"/>
        </w:tabs>
        <w:suppressAutoHyphens w:val="false"/>
        <w:spacing w:before="360" w:after="100"/>
        <w:ind w:hanging="432" w:left="858" w:right="-29"/>
        <w:jc w:val="both"/>
        <w:outlineLvl w:val="0"/>
        <w:rPr>
          <w:rFonts w:ascii="Calibri" w:hAnsi="Calibri"/>
          <w:b/>
          <w:sz w:val="22"/>
          <w:lang w:eastAsia="de-DE"/>
        </w:rPr>
      </w:pPr>
      <w:r>
        <w:rPr>
          <w:rFonts w:ascii="Calibri" w:hAnsi="Calibri"/>
          <w:b/>
          <w:sz w:val="22"/>
          <w:lang w:eastAsia="de-DE"/>
        </w:rPr>
        <w:t>Privat 3</w:t>
      </w:r>
    </w:p>
    <w:tbl>
      <w:tblPr>
        <w:tblW w:w="14454"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206"/>
        <w:gridCol w:w="14247"/>
      </w:tblGrid>
      <w:tr>
        <w:trPr>
          <w:tblHeader w:val="true"/>
        </w:trPr>
        <w:tc>
          <w:tcPr>
            <w:tcW w:w="14453" w:type="dxa"/>
            <w:gridSpan w:val="2"/>
            <w:tcBorders>
              <w:top w:val="single" w:sz="4" w:space="0" w:color="000000"/>
              <w:left w:val="single" w:sz="4" w:space="0" w:color="000000"/>
              <w:bottom w:val="single" w:sz="4" w:space="0" w:color="000000"/>
              <w:right w:val="single" w:sz="4" w:space="0" w:color="000000"/>
            </w:tcBorders>
            <w:shd w:color="auto" w:fill="FFFFFF" w:val="pct12"/>
          </w:tcPr>
          <w:p>
            <w:pPr>
              <w:pStyle w:val="Normal"/>
              <w:tabs>
                <w:tab w:val="clear" w:pos="709"/>
                <w:tab w:val="left" w:pos="1875" w:leader="none"/>
              </w:tabs>
              <w:suppressAutoHyphens w:val="false"/>
              <w:ind w:right="113"/>
              <w:jc w:val="both"/>
              <w:rPr>
                <w:rFonts w:ascii="Calibri" w:hAnsi="Calibri"/>
                <w:b/>
                <w:sz w:val="22"/>
                <w:lang w:eastAsia="de-DE"/>
              </w:rPr>
            </w:pPr>
            <w:r>
              <w:rPr>
                <w:rFonts w:ascii="Calibri" w:hAnsi="Calibri"/>
                <w:b/>
                <w:sz w:val="22"/>
                <w:lang w:eastAsia="de-DE"/>
              </w:rPr>
              <w:t>Anregung</w:t>
            </w:r>
          </w:p>
        </w:tc>
      </w:tr>
      <w:tr>
        <w:trPr/>
        <w:tc>
          <w:tcPr>
            <w:tcW w:w="206" w:type="dxa"/>
            <w:tcBorders>
              <w:top w:val="single" w:sz="4" w:space="0" w:color="000000"/>
              <w:left w:val="single" w:sz="4" w:space="0" w:color="000000"/>
              <w:bottom w:val="single" w:sz="4" w:space="0" w:color="000000"/>
            </w:tcBorders>
          </w:tcPr>
          <w:p>
            <w:pPr>
              <w:pStyle w:val="Normal"/>
              <w:widowControl w:val="false"/>
              <w:tabs>
                <w:tab w:val="clear" w:pos="709"/>
                <w:tab w:val="left" w:pos="708" w:leader="none"/>
                <w:tab w:val="center" w:pos="4536" w:leader="none"/>
                <w:tab w:val="right" w:pos="9072" w:leader="none"/>
              </w:tabs>
              <w:suppressAutoHyphens w:val="false"/>
              <w:ind w:right="113"/>
              <w:jc w:val="right"/>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r>
          </w:p>
        </w:tc>
        <w:tc>
          <w:tcPr>
            <w:tcW w:w="14247" w:type="dxa"/>
            <w:tcBorders>
              <w:top w:val="single" w:sz="4" w:space="0" w:color="000000"/>
              <w:bottom w:val="single" w:sz="4" w:space="0" w:color="000000"/>
              <w:right w:val="single" w:sz="4" w:space="0" w:color="000000"/>
            </w:tcBorders>
          </w:tcPr>
          <w:p>
            <w:pPr>
              <w:pStyle w:val="Normal"/>
              <w:suppressAutoHyphens w:val="false"/>
              <w:overflowPunct w:val="true"/>
              <w:spacing w:lineRule="exact" w:line="270" w:before="548" w:after="0"/>
              <w:ind w:left="504" w:right="113"/>
              <w:jc w:val="both"/>
              <w:textAlignment w:val="baseline"/>
              <w:rPr>
                <w:spacing w:val="3"/>
                <w:sz w:val="23"/>
                <w:szCs w:val="23"/>
                <w:lang w:eastAsia="de-DE"/>
              </w:rPr>
            </w:pPr>
            <w:r>
              <w:rPr>
                <w:rFonts w:ascii="Calibri" w:hAnsi="Calibri"/>
                <w:spacing w:val="3"/>
                <w:sz w:val="23"/>
                <w:szCs w:val="23"/>
                <w:lang w:eastAsia="de-DE"/>
              </w:rPr>
              <w:t>Sehr geehrte Damen und Herren,</w:t>
            </w:r>
          </w:p>
          <w:p>
            <w:pPr>
              <w:pStyle w:val="Normal"/>
              <w:suppressAutoHyphens w:val="false"/>
              <w:overflowPunct w:val="true"/>
              <w:spacing w:lineRule="exact" w:line="276" w:before="282" w:after="0"/>
              <w:ind w:left="504" w:right="360"/>
              <w:jc w:val="both"/>
              <w:textAlignment w:val="baseline"/>
              <w:rPr>
                <w:rFonts w:ascii="Calibri" w:hAnsi="Calibri"/>
                <w:sz w:val="23"/>
                <w:szCs w:val="23"/>
                <w:lang w:eastAsia="de-DE"/>
              </w:rPr>
            </w:pPr>
            <w:r>
              <w:rPr>
                <w:rFonts w:ascii="Calibri" w:hAnsi="Calibri"/>
                <w:sz w:val="23"/>
                <w:szCs w:val="23"/>
                <w:lang w:eastAsia="de-DE"/>
              </w:rPr>
              <w:t>der Bürgerschützenverein Lieser ist Eigentümer und Betreiber des Schießstandes, der sich westlich des beplanten Baugebietes befindet. Die Betriebserlaubnis für diese Anlage wurde 02.03.2015 durch die Kreisverwaltung Bernkastel-Wittlich erteilt.</w:t>
            </w:r>
          </w:p>
          <w:p>
            <w:pPr>
              <w:pStyle w:val="Normal"/>
              <w:suppressAutoHyphens w:val="false"/>
              <w:overflowPunct w:val="true"/>
              <w:spacing w:lineRule="exact" w:line="277" w:before="273" w:after="0"/>
              <w:ind w:left="504" w:right="72"/>
              <w:jc w:val="both"/>
              <w:textAlignment w:val="baseline"/>
              <w:rPr>
                <w:rFonts w:ascii="Calibri" w:hAnsi="Calibri"/>
                <w:sz w:val="23"/>
                <w:szCs w:val="23"/>
                <w:lang w:eastAsia="de-DE"/>
              </w:rPr>
            </w:pPr>
            <w:r>
              <w:rPr>
                <w:rFonts w:ascii="Calibri" w:hAnsi="Calibri"/>
                <w:sz w:val="23"/>
                <w:szCs w:val="23"/>
                <w:lang w:eastAsia="de-DE"/>
              </w:rPr>
              <w:t>Gegen die Ausweisung und Erschließung des geplanten Baugebietes bestehen unsererseits keine Bedenken, sofern sichergestellt wird, dass die Anlage auch künftig in der jetzigen Form betrieben werden kann.</w:t>
            </w:r>
          </w:p>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r>
          </w:p>
        </w:tc>
      </w:tr>
    </w:tbl>
    <w:p>
      <w:pPr>
        <w:pStyle w:val="Normal"/>
        <w:suppressAutoHyphens w:val="false"/>
        <w:spacing w:before="0" w:after="240"/>
        <w:ind w:right="113"/>
        <w:jc w:val="both"/>
        <w:rPr>
          <w:rFonts w:ascii="Calibri" w:hAnsi="Calibri"/>
          <w:b/>
          <w:sz w:val="24"/>
          <w:lang w:eastAsia="de-DE"/>
        </w:rPr>
      </w:pPr>
      <w:r>
        <w:rPr>
          <w:rFonts w:ascii="Calibri" w:hAnsi="Calibri"/>
          <w:b/>
          <w:sz w:val="24"/>
          <w:lang w:eastAsia="de-DE"/>
        </w:rPr>
      </w:r>
    </w:p>
    <w:p>
      <w:pPr>
        <w:pStyle w:val="Normal"/>
        <w:keepNext w:val="true"/>
        <w:numPr>
          <w:ilvl w:val="0"/>
          <w:numId w:val="50"/>
        </w:numPr>
        <w:tabs>
          <w:tab w:val="clear" w:pos="709"/>
          <w:tab w:val="left" w:pos="2694" w:leader="none"/>
          <w:tab w:val="left" w:pos="8505" w:leader="none"/>
        </w:tabs>
        <w:suppressAutoHyphens w:val="false"/>
        <w:spacing w:before="360" w:after="100"/>
        <w:ind w:hanging="432" w:left="858" w:right="-29"/>
        <w:jc w:val="both"/>
        <w:outlineLvl w:val="0"/>
        <w:rPr>
          <w:rFonts w:ascii="Calibri" w:hAnsi="Calibri"/>
          <w:b/>
          <w:sz w:val="22"/>
          <w:lang w:eastAsia="de-DE"/>
        </w:rPr>
      </w:pPr>
      <w:r>
        <w:rPr>
          <w:rFonts w:ascii="Calibri" w:hAnsi="Calibri"/>
          <w:b/>
          <w:sz w:val="22"/>
          <w:lang w:eastAsia="de-DE"/>
        </w:rPr>
        <w:t>Privat 4</w:t>
      </w:r>
    </w:p>
    <w:tbl>
      <w:tblPr>
        <w:tblW w:w="14454"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206"/>
        <w:gridCol w:w="14247"/>
      </w:tblGrid>
      <w:tr>
        <w:trPr>
          <w:tblHeader w:val="true"/>
        </w:trPr>
        <w:tc>
          <w:tcPr>
            <w:tcW w:w="14453" w:type="dxa"/>
            <w:gridSpan w:val="2"/>
            <w:tcBorders>
              <w:top w:val="single" w:sz="4" w:space="0" w:color="000000"/>
              <w:left w:val="single" w:sz="4" w:space="0" w:color="000000"/>
              <w:bottom w:val="single" w:sz="4" w:space="0" w:color="000000"/>
              <w:right w:val="single" w:sz="4" w:space="0" w:color="000000"/>
            </w:tcBorders>
            <w:shd w:color="auto" w:fill="FFFFFF" w:val="pct12"/>
          </w:tcPr>
          <w:p>
            <w:pPr>
              <w:pStyle w:val="Normal"/>
              <w:tabs>
                <w:tab w:val="clear" w:pos="709"/>
                <w:tab w:val="left" w:pos="1875" w:leader="none"/>
              </w:tabs>
              <w:suppressAutoHyphens w:val="false"/>
              <w:ind w:right="113"/>
              <w:jc w:val="both"/>
              <w:rPr>
                <w:rFonts w:ascii="Calibri" w:hAnsi="Calibri"/>
                <w:b/>
                <w:sz w:val="22"/>
                <w:lang w:eastAsia="de-DE"/>
              </w:rPr>
            </w:pPr>
            <w:r>
              <w:rPr>
                <w:rFonts w:ascii="Calibri" w:hAnsi="Calibri"/>
                <w:b/>
                <w:sz w:val="22"/>
                <w:lang w:eastAsia="de-DE"/>
              </w:rPr>
              <w:t>Anregung</w:t>
            </w:r>
          </w:p>
        </w:tc>
      </w:tr>
      <w:tr>
        <w:trPr/>
        <w:tc>
          <w:tcPr>
            <w:tcW w:w="206" w:type="dxa"/>
            <w:tcBorders>
              <w:top w:val="single" w:sz="4" w:space="0" w:color="000000"/>
              <w:left w:val="single" w:sz="4" w:space="0" w:color="000000"/>
              <w:bottom w:val="single" w:sz="4" w:space="0" w:color="000000"/>
            </w:tcBorders>
          </w:tcPr>
          <w:p>
            <w:pPr>
              <w:pStyle w:val="Normal"/>
              <w:widowControl w:val="false"/>
              <w:tabs>
                <w:tab w:val="clear" w:pos="709"/>
                <w:tab w:val="left" w:pos="708" w:leader="none"/>
                <w:tab w:val="center" w:pos="4536" w:leader="none"/>
                <w:tab w:val="right" w:pos="9072" w:leader="none"/>
              </w:tabs>
              <w:suppressAutoHyphens w:val="false"/>
              <w:ind w:right="113"/>
              <w:jc w:val="right"/>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r>
          </w:p>
        </w:tc>
        <w:tc>
          <w:tcPr>
            <w:tcW w:w="14247" w:type="dxa"/>
            <w:tcBorders>
              <w:top w:val="single" w:sz="4" w:space="0" w:color="000000"/>
              <w:bottom w:val="single" w:sz="4" w:space="0" w:color="000000"/>
              <w:right w:val="single" w:sz="4" w:space="0" w:color="000000"/>
            </w:tcBorders>
          </w:tcPr>
          <w:p>
            <w:pPr>
              <w:pStyle w:val="Normal"/>
              <w:suppressAutoHyphens w:val="false"/>
              <w:overflowPunct w:val="true"/>
              <w:spacing w:lineRule="exact" w:line="271" w:before="483" w:after="0"/>
              <w:ind w:right="113"/>
              <w:jc w:val="both"/>
              <w:textAlignment w:val="baseline"/>
              <w:rPr>
                <w:spacing w:val="2"/>
                <w:sz w:val="24"/>
                <w:szCs w:val="24"/>
                <w:lang w:eastAsia="de-DE"/>
              </w:rPr>
            </w:pPr>
            <w:r>
              <w:rPr>
                <w:rFonts w:ascii="Calibri" w:hAnsi="Calibri"/>
                <w:spacing w:val="2"/>
                <w:sz w:val="24"/>
                <w:szCs w:val="24"/>
                <w:lang w:eastAsia="de-DE"/>
              </w:rPr>
              <w:t>Sehr geehrter Herr Servatius,</w:t>
            </w:r>
          </w:p>
          <w:p>
            <w:pPr>
              <w:pStyle w:val="Normal"/>
              <w:suppressAutoHyphens w:val="false"/>
              <w:overflowPunct w:val="true"/>
              <w:spacing w:lineRule="exact" w:line="255" w:before="249" w:after="0"/>
              <w:ind w:right="113"/>
              <w:jc w:val="both"/>
              <w:textAlignment w:val="baseline"/>
              <w:rPr>
                <w:rFonts w:ascii="Calibri" w:hAnsi="Calibri"/>
                <w:sz w:val="24"/>
                <w:szCs w:val="24"/>
                <w:lang w:eastAsia="de-DE"/>
              </w:rPr>
            </w:pPr>
            <w:r>
              <w:rPr>
                <w:rFonts w:ascii="Calibri" w:hAnsi="Calibri"/>
                <w:sz w:val="24"/>
                <w:szCs w:val="24"/>
                <w:lang w:eastAsia="de-DE"/>
              </w:rPr>
              <w:t xml:space="preserve">bekanntlich vertrete ich die rechtlichen Interessen des </w:t>
            </w:r>
            <w:r>
              <w:rPr>
                <w:rFonts w:ascii="Calibri" w:hAnsi="Calibri"/>
                <w:b/>
                <w:i/>
                <w:sz w:val="24"/>
                <w:szCs w:val="24"/>
                <w:lang w:eastAsia="de-DE"/>
              </w:rPr>
              <w:t>anonymisiert</w:t>
            </w:r>
            <w:r>
              <w:rPr>
                <w:rFonts w:ascii="Calibri" w:hAnsi="Calibri"/>
                <w:sz w:val="24"/>
                <w:szCs w:val="24"/>
                <w:lang w:eastAsia="de-DE"/>
              </w:rPr>
              <w:t>.</w:t>
            </w:r>
          </w:p>
          <w:p>
            <w:pPr>
              <w:pStyle w:val="Normal"/>
              <w:suppressAutoHyphens w:val="false"/>
              <w:overflowPunct w:val="true"/>
              <w:spacing w:lineRule="exact" w:line="255" w:before="251" w:after="0"/>
              <w:ind w:right="113"/>
              <w:jc w:val="both"/>
              <w:textAlignment w:val="baseline"/>
              <w:rPr>
                <w:rFonts w:ascii="Calibri" w:hAnsi="Calibri"/>
                <w:spacing w:val="6"/>
                <w:sz w:val="24"/>
                <w:szCs w:val="24"/>
                <w:lang w:eastAsia="de-DE"/>
              </w:rPr>
            </w:pPr>
            <w:r>
              <w:rPr>
                <w:rFonts w:ascii="Calibri" w:hAnsi="Calibri"/>
                <w:spacing w:val="6"/>
                <w:sz w:val="24"/>
                <w:szCs w:val="24"/>
                <w:lang w:eastAsia="de-DE"/>
              </w:rPr>
              <w:t>Der Mandant ist Eigentümer des, an das künftige Plangebiet des Bebauungsplans „Hinter Goldschmitsgraben" angrenzenden landwirtschaftlich genutzten Grundstücks Parz.-Nr. 2, das etwa zu 2/3 als Weinberg und der verbleibende 1/3 Anteil als Weinkeller mit Kelteranlage genutzt wird.</w:t>
            </w:r>
          </w:p>
          <w:p>
            <w:pPr>
              <w:pStyle w:val="Normal"/>
              <w:suppressAutoHyphens w:val="false"/>
              <w:overflowPunct w:val="true"/>
              <w:spacing w:lineRule="exact" w:line="255" w:before="254" w:after="0"/>
              <w:ind w:right="113"/>
              <w:jc w:val="both"/>
              <w:textAlignment w:val="baseline"/>
              <w:rPr>
                <w:rFonts w:ascii="Calibri" w:hAnsi="Calibri"/>
                <w:sz w:val="24"/>
                <w:szCs w:val="24"/>
                <w:lang w:eastAsia="de-DE"/>
              </w:rPr>
            </w:pPr>
            <w:r>
              <w:rPr>
                <w:rFonts w:ascii="Calibri" w:hAnsi="Calibri"/>
                <w:sz w:val="24"/>
                <w:szCs w:val="24"/>
                <w:lang w:eastAsia="de-DE"/>
              </w:rPr>
              <w:t>Namens und im Auftrage des Mandanten bringe ich folgende Einwendungen gegen den Planentwurf wie folgt vor:</w:t>
            </w:r>
          </w:p>
          <w:p>
            <w:pPr>
              <w:pStyle w:val="Normal"/>
              <w:suppressAutoHyphens w:val="false"/>
              <w:overflowPunct w:val="true"/>
              <w:spacing w:lineRule="exact" w:line="255" w:before="254" w:after="0"/>
              <w:ind w:hanging="288" w:left="288" w:right="113"/>
              <w:jc w:val="both"/>
              <w:textAlignment w:val="baseline"/>
              <w:rPr>
                <w:rFonts w:ascii="Calibri" w:hAnsi="Calibri"/>
                <w:sz w:val="24"/>
                <w:szCs w:val="24"/>
                <w:lang w:eastAsia="de-DE"/>
              </w:rPr>
            </w:pPr>
            <w:r>
              <w:rPr>
                <w:rFonts w:ascii="Calibri" w:hAnsi="Calibri"/>
                <w:sz w:val="24"/>
                <w:szCs w:val="24"/>
                <w:lang w:eastAsia="de-DE"/>
              </w:rPr>
              <w:t>1. Bereits die Veröffentlichung des Planentwurfs entspricht nicht den gesetzlichen Anforderungen des BauBG, was wie folgt ausgeführt werden soll:</w:t>
            </w:r>
          </w:p>
          <w:p>
            <w:pPr>
              <w:pStyle w:val="Normal"/>
              <w:suppressAutoHyphens w:val="false"/>
              <w:overflowPunct w:val="true"/>
              <w:spacing w:lineRule="exact" w:line="258" w:before="250" w:after="0"/>
              <w:ind w:left="288" w:right="113"/>
              <w:jc w:val="both"/>
              <w:textAlignment w:val="baseline"/>
              <w:rPr>
                <w:rFonts w:ascii="Calibri" w:hAnsi="Calibri"/>
                <w:spacing w:val="17"/>
                <w:sz w:val="24"/>
                <w:szCs w:val="24"/>
                <w:lang w:eastAsia="de-DE"/>
              </w:rPr>
            </w:pPr>
            <w:r>
              <w:rPr>
                <w:rFonts w:ascii="Calibri" w:hAnsi="Calibri"/>
                <w:spacing w:val="17"/>
                <w:sz w:val="24"/>
                <w:szCs w:val="24"/>
                <w:lang w:eastAsia="de-DE"/>
              </w:rPr>
              <w:t>Die Beteiligung der Öffentlichkeit entspricht hier nicht den Anforderungen des § 3 Abs. 2 BauBG.</w:t>
            </w:r>
          </w:p>
          <w:p>
            <w:pPr>
              <w:pStyle w:val="Normal"/>
              <w:suppressAutoHyphens w:val="false"/>
              <w:overflowPunct w:val="true"/>
              <w:spacing w:lineRule="exact" w:line="253" w:before="251" w:after="0"/>
              <w:ind w:left="288" w:right="113"/>
              <w:jc w:val="both"/>
              <w:textAlignment w:val="baseline"/>
              <w:rPr>
                <w:rFonts w:ascii="Calibri" w:hAnsi="Calibri"/>
                <w:sz w:val="24"/>
                <w:szCs w:val="24"/>
                <w:lang w:eastAsia="de-DE"/>
              </w:rPr>
            </w:pPr>
            <w:r>
              <w:rPr>
                <w:rFonts w:ascii="Calibri" w:hAnsi="Calibri"/>
                <w:sz w:val="24"/>
                <w:szCs w:val="24"/>
                <w:lang w:eastAsia="de-DE"/>
              </w:rPr>
              <w:t>Danach sind die Entwürfe der Bauleitpläne mit der Begründung und den, nach Einschätzung der Gemeinde wesentlichen bereits vorliegenden umweltbezogenen Stellungnahmen für die Dauer eines Monats öffentlich auszulegen, wobei auch die Dauer der Auslegung mindestens eine Woche vorher ortsüblich bekanntzumachen ist.</w:t>
            </w:r>
          </w:p>
          <w:p>
            <w:pPr>
              <w:pStyle w:val="Normal"/>
              <w:suppressAutoHyphens w:val="false"/>
              <w:overflowPunct w:val="true"/>
              <w:spacing w:lineRule="exact" w:line="253" w:before="251" w:after="0"/>
              <w:ind w:left="288" w:right="113"/>
              <w:jc w:val="both"/>
              <w:textAlignment w:val="baseline"/>
              <w:rPr>
                <w:rFonts w:ascii="Calibri" w:hAnsi="Calibri"/>
                <w:sz w:val="24"/>
                <w:szCs w:val="24"/>
                <w:lang w:eastAsia="de-DE"/>
              </w:rPr>
            </w:pPr>
            <w:r>
              <w:rPr>
                <w:rFonts w:ascii="Calibri" w:hAnsi="Calibri"/>
                <w:sz w:val="24"/>
                <w:szCs w:val="24"/>
                <w:lang w:eastAsia="de-DE"/>
              </w:rPr>
              <w:t>Der Planentwurf erzeugt im Übrigen im Bereich des vorgesehenen Planabschnitts MD2 absehbare Konflikte und beruht daher auf Abwägungsfehlern.</w:t>
            </w:r>
          </w:p>
          <w:p>
            <w:pPr>
              <w:pStyle w:val="Normal"/>
              <w:suppressAutoHyphens w:val="false"/>
              <w:overflowPunct w:val="true"/>
              <w:spacing w:lineRule="exact" w:line="253" w:before="251" w:after="0"/>
              <w:ind w:left="288" w:right="113"/>
              <w:jc w:val="both"/>
              <w:textAlignment w:val="baseline"/>
              <w:rPr>
                <w:rFonts w:ascii="Calibri" w:hAnsi="Calibri"/>
                <w:sz w:val="24"/>
                <w:szCs w:val="24"/>
                <w:lang w:eastAsia="de-DE"/>
              </w:rPr>
            </w:pPr>
            <w:r>
              <w:rPr>
                <w:rFonts w:ascii="Calibri" w:hAnsi="Calibri"/>
                <w:sz w:val="24"/>
                <w:szCs w:val="24"/>
                <w:lang w:eastAsia="de-DE"/>
              </w:rPr>
              <w:t>Im Bereich MD2 weist der Entwurf zwei Baufenster aus, die eine verdichtete Wohnbebauung ermöglichen. Die hieran angrenzende landwirtschaftliche Nutzung des Grundstücks des Mandanten Parz.-Nr. 2 und die davon ausgehenden Immissionen sind von der Ortsgemeinde offenbar weder ermittelt noch bewertet worden.</w:t>
            </w:r>
          </w:p>
          <w:p>
            <w:pPr>
              <w:pStyle w:val="Normal"/>
              <w:suppressAutoHyphens w:val="false"/>
              <w:overflowPunct w:val="true"/>
              <w:spacing w:lineRule="exact" w:line="253" w:before="251" w:after="0"/>
              <w:ind w:left="288" w:right="113"/>
              <w:jc w:val="both"/>
              <w:textAlignment w:val="baseline"/>
              <w:rPr>
                <w:rFonts w:ascii="Calibri" w:hAnsi="Calibri"/>
                <w:sz w:val="24"/>
                <w:szCs w:val="24"/>
                <w:lang w:eastAsia="de-DE"/>
              </w:rPr>
            </w:pPr>
            <w:r>
              <w:rPr>
                <w:rFonts w:ascii="Calibri" w:hAnsi="Calibri"/>
                <w:sz w:val="24"/>
                <w:szCs w:val="24"/>
                <w:lang w:eastAsia="de-DE"/>
              </w:rPr>
              <w:t>Auf dem Grundstück des Mandanten befindet sich, wie ausgeführt, ein Weinberg nebst Kellereigebäude und Kelter.</w:t>
            </w:r>
          </w:p>
          <w:p>
            <w:pPr>
              <w:pStyle w:val="Normal"/>
              <w:suppressAutoHyphens w:val="false"/>
              <w:overflowPunct w:val="true"/>
              <w:spacing w:lineRule="exact" w:line="253" w:before="251" w:after="0"/>
              <w:ind w:left="288" w:right="113"/>
              <w:jc w:val="both"/>
              <w:textAlignment w:val="baseline"/>
              <w:rPr>
                <w:rFonts w:ascii="Calibri" w:hAnsi="Calibri"/>
                <w:sz w:val="24"/>
                <w:szCs w:val="24"/>
                <w:lang w:eastAsia="de-DE"/>
              </w:rPr>
            </w:pPr>
            <w:r>
              <w:rPr>
                <w:rFonts w:ascii="Calibri" w:hAnsi="Calibri"/>
                <w:sz w:val="24"/>
                <w:szCs w:val="24"/>
                <w:lang w:eastAsia="de-DE"/>
              </w:rPr>
              <w:t>Der Planentwurf sieht für die hieran angrenzenden Parz.-Nr. 112/1 sowie 112/2 eine intensive Wohnnutzung vor.</w:t>
            </w:r>
          </w:p>
          <w:p>
            <w:pPr>
              <w:pStyle w:val="Normal"/>
              <w:suppressAutoHyphens w:val="false"/>
              <w:overflowPunct w:val="true"/>
              <w:spacing w:lineRule="exact" w:line="253" w:before="251" w:after="0"/>
              <w:ind w:left="288" w:right="113"/>
              <w:jc w:val="both"/>
              <w:textAlignment w:val="baseline"/>
              <w:rPr>
                <w:rFonts w:ascii="Calibri" w:hAnsi="Calibri"/>
                <w:sz w:val="24"/>
                <w:szCs w:val="24"/>
                <w:lang w:eastAsia="de-DE"/>
              </w:rPr>
            </w:pPr>
            <w:r>
              <w:rPr>
                <w:rFonts w:ascii="Calibri" w:hAnsi="Calibri"/>
                <w:sz w:val="24"/>
                <w:szCs w:val="24"/>
                <w:lang w:eastAsia="de-DE"/>
              </w:rPr>
              <w:t>Nach Ziffer 1.5 der Textfestsetzung sind hier Wohngebäude mit je 6 Wohnungen zulässig, während in den übrigen Plangebieten nur solche mit 2 Wohnungen zulässig sind.</w:t>
            </w:r>
          </w:p>
          <w:p>
            <w:pPr>
              <w:pStyle w:val="Normal"/>
              <w:suppressAutoHyphens w:val="false"/>
              <w:overflowPunct w:val="true"/>
              <w:spacing w:lineRule="exact" w:line="253" w:before="251" w:after="0"/>
              <w:ind w:left="288" w:right="113"/>
              <w:jc w:val="both"/>
              <w:textAlignment w:val="baseline"/>
              <w:rPr>
                <w:rFonts w:ascii="Calibri" w:hAnsi="Calibri"/>
                <w:sz w:val="24"/>
                <w:szCs w:val="24"/>
                <w:lang w:eastAsia="de-DE"/>
              </w:rPr>
            </w:pPr>
            <w:r>
              <w:rPr>
                <w:rFonts w:ascii="Calibri" w:hAnsi="Calibri"/>
                <w:sz w:val="24"/>
                <w:szCs w:val="24"/>
                <w:lang w:eastAsia="de-DE"/>
              </w:rPr>
              <w:t>Im Bereich der Baufenster MD2 sind daher 7 bis 8 Wohngebäude mit jeweils 6 WE geplant und auch zulässig.</w:t>
            </w:r>
          </w:p>
          <w:p>
            <w:pPr>
              <w:pStyle w:val="Normal"/>
              <w:suppressAutoHyphens w:val="false"/>
              <w:overflowPunct w:val="true"/>
              <w:spacing w:lineRule="exact" w:line="253" w:before="251" w:after="0"/>
              <w:ind w:left="288" w:right="113"/>
              <w:jc w:val="both"/>
              <w:textAlignment w:val="baseline"/>
              <w:rPr>
                <w:rFonts w:ascii="Calibri" w:hAnsi="Calibri"/>
                <w:sz w:val="24"/>
                <w:szCs w:val="24"/>
                <w:lang w:eastAsia="de-DE"/>
              </w:rPr>
            </w:pPr>
            <w:r>
              <w:rPr>
                <w:rFonts w:ascii="Calibri" w:hAnsi="Calibri"/>
                <w:sz w:val="24"/>
                <w:szCs w:val="24"/>
                <w:lang w:eastAsia="de-DE"/>
              </w:rPr>
              <w:t>Das führt zu absehbaren Konflikten mit der immissionsträchtigen landwirtschaftlichen Nutzung des angrenzenden Grundstücks des Mandanten, denn auf der angrenzenden Weinbergfläche können Pflanzenschutzmittel zum Einsatz kommen. Auch die lärmintensive Nutzung des Weinkellers, insbesondere in den Herbstmonaten erzeugt Konflikte mit der angrenzenden Wohnnutzung.</w:t>
            </w:r>
          </w:p>
          <w:p>
            <w:pPr>
              <w:pStyle w:val="Normal"/>
              <w:suppressAutoHyphens w:val="false"/>
              <w:overflowPunct w:val="true"/>
              <w:spacing w:lineRule="exact" w:line="253" w:before="251" w:after="0"/>
              <w:ind w:left="288" w:right="113"/>
              <w:jc w:val="both"/>
              <w:textAlignment w:val="baseline"/>
              <w:rPr>
                <w:rFonts w:ascii="Calibri" w:hAnsi="Calibri"/>
                <w:sz w:val="24"/>
                <w:szCs w:val="24"/>
                <w:lang w:eastAsia="de-DE"/>
              </w:rPr>
            </w:pPr>
            <w:r>
              <w:rPr>
                <w:rFonts w:ascii="Calibri" w:hAnsi="Calibri"/>
                <w:sz w:val="24"/>
                <w:szCs w:val="24"/>
                <w:lang w:eastAsia="de-DE"/>
              </w:rPr>
              <w:t>Derart verdichtete Wohnnutzung, wie sie hier im Plangebiet MD2 vorgesehen und ermöglicht wird, führt daher zu absehbaren Konflikten mit der landwirtschaftlichen Nutzung des angrenzenden Grundstücks des Mandanten.</w:t>
            </w:r>
          </w:p>
          <w:p>
            <w:pPr>
              <w:pStyle w:val="Normal"/>
              <w:suppressAutoHyphens w:val="false"/>
              <w:overflowPunct w:val="true"/>
              <w:spacing w:lineRule="exact" w:line="253" w:before="251" w:after="0"/>
              <w:ind w:left="288" w:right="113"/>
              <w:jc w:val="both"/>
              <w:textAlignment w:val="baseline"/>
              <w:rPr>
                <w:rFonts w:ascii="Calibri" w:hAnsi="Calibri"/>
                <w:sz w:val="24"/>
                <w:szCs w:val="24"/>
                <w:lang w:eastAsia="de-DE"/>
              </w:rPr>
            </w:pPr>
            <w:r>
              <w:rPr>
                <w:rFonts w:ascii="Calibri" w:hAnsi="Calibri"/>
                <w:sz w:val="24"/>
                <w:szCs w:val="24"/>
                <w:lang w:eastAsia="de-DE"/>
              </w:rPr>
              <w:t>Die vorgesehene Festsetzung von Baufenstern zum Zwecke der Wohnnutzung im Bereich MD2 in geringer Entfernung von dem landwirtschaftlich genutzten Grundstück des Mandanten, beruht, weil dies nicht gesehen worden ist, daher auf Ermittlungs- und Bewertungsfehlern.</w:t>
            </w:r>
          </w:p>
          <w:p>
            <w:pPr>
              <w:pStyle w:val="Normal"/>
              <w:suppressAutoHyphens w:val="false"/>
              <w:overflowPunct w:val="true"/>
              <w:spacing w:lineRule="exact" w:line="253" w:before="251" w:after="0"/>
              <w:ind w:left="288" w:right="113"/>
              <w:jc w:val="both"/>
              <w:textAlignment w:val="baseline"/>
              <w:rPr>
                <w:rFonts w:ascii="Calibri" w:hAnsi="Calibri"/>
                <w:sz w:val="24"/>
                <w:szCs w:val="24"/>
                <w:lang w:eastAsia="de-DE"/>
              </w:rPr>
            </w:pPr>
            <w:r>
              <w:rPr>
                <w:rFonts w:ascii="Calibri" w:hAnsi="Calibri"/>
                <w:sz w:val="24"/>
                <w:szCs w:val="24"/>
                <w:lang w:eastAsia="de-DE"/>
              </w:rPr>
              <w:t>Ferner ist nicht berücksichtigt, dass der Mandant sich dann anschließend gegenüber der näher rückenden Wohnbebauung nicht mehr auf die vorherige Rücksichtnahmepflicht auf seinen landwirtschaftlichen Betrieb berufen kann.</w:t>
            </w:r>
          </w:p>
          <w:p>
            <w:pPr>
              <w:pStyle w:val="Normal"/>
              <w:suppressAutoHyphens w:val="false"/>
              <w:overflowPunct w:val="true"/>
              <w:spacing w:lineRule="exact" w:line="253" w:before="251" w:after="0"/>
              <w:ind w:left="288" w:right="113"/>
              <w:jc w:val="both"/>
              <w:textAlignment w:val="baseline"/>
              <w:rPr>
                <w:rFonts w:ascii="Calibri" w:hAnsi="Calibri"/>
                <w:sz w:val="24"/>
                <w:szCs w:val="24"/>
                <w:lang w:eastAsia="de-DE"/>
              </w:rPr>
            </w:pPr>
            <w:r>
              <w:rPr>
                <w:rFonts w:ascii="Calibri" w:hAnsi="Calibri"/>
                <w:sz w:val="24"/>
                <w:szCs w:val="24"/>
                <w:lang w:eastAsia="de-DE"/>
              </w:rPr>
              <w:t>Der gleiche Nutzungskonflikt besteht mit dem landwirtschaftlich genutzten Grundstück Parz.-Nr. 115/1.</w:t>
            </w:r>
          </w:p>
          <w:p>
            <w:pPr>
              <w:pStyle w:val="Normal"/>
              <w:suppressAutoHyphens w:val="false"/>
              <w:overflowPunct w:val="true"/>
              <w:spacing w:lineRule="exact" w:line="253" w:before="251" w:after="0"/>
              <w:ind w:left="288" w:right="113"/>
              <w:jc w:val="both"/>
              <w:textAlignment w:val="baseline"/>
              <w:rPr>
                <w:rFonts w:ascii="Calibri" w:hAnsi="Calibri"/>
                <w:sz w:val="24"/>
                <w:szCs w:val="24"/>
                <w:lang w:eastAsia="de-DE"/>
              </w:rPr>
            </w:pPr>
            <w:r>
              <w:rPr>
                <w:rFonts w:ascii="Calibri" w:hAnsi="Calibri"/>
                <w:sz w:val="24"/>
                <w:szCs w:val="24"/>
                <w:lang w:eastAsia="de-DE"/>
              </w:rPr>
              <w:t>Auch hier befindet sich ein Weinbaubetrieb, der ursprünglich wegen der damit verbundenen Immissionen im Außenbereich legal errichtet worden ist.</w:t>
            </w:r>
          </w:p>
          <w:p>
            <w:pPr>
              <w:pStyle w:val="Normal"/>
              <w:suppressAutoHyphens w:val="false"/>
              <w:overflowPunct w:val="true"/>
              <w:spacing w:lineRule="exact" w:line="253" w:before="251" w:after="0"/>
              <w:ind w:left="288" w:right="113"/>
              <w:jc w:val="both"/>
              <w:textAlignment w:val="baseline"/>
              <w:rPr>
                <w:rFonts w:ascii="Calibri" w:hAnsi="Calibri"/>
                <w:sz w:val="24"/>
                <w:szCs w:val="24"/>
                <w:lang w:eastAsia="de-DE"/>
              </w:rPr>
            </w:pPr>
            <w:r>
              <w:rPr>
                <w:rFonts w:ascii="Calibri" w:hAnsi="Calibri"/>
                <w:sz w:val="24"/>
                <w:szCs w:val="24"/>
                <w:lang w:eastAsia="de-DE"/>
              </w:rPr>
              <w:t>Das Plangebiet MD2 grenzt daher gleich an zwei Seiten an Grundstücke an, deren landwirtschaftliche Nutzung durch die heranrückende Wohnbebauung gefährdet wird.</w:t>
            </w:r>
          </w:p>
          <w:p>
            <w:pPr>
              <w:pStyle w:val="Normal"/>
              <w:suppressAutoHyphens w:val="false"/>
              <w:overflowPunct w:val="true"/>
              <w:spacing w:lineRule="exact" w:line="253" w:before="251" w:after="0"/>
              <w:ind w:left="288" w:right="113"/>
              <w:jc w:val="both"/>
              <w:textAlignment w:val="baseline"/>
              <w:rPr>
                <w:rFonts w:ascii="Calibri" w:hAnsi="Calibri"/>
                <w:sz w:val="24"/>
                <w:szCs w:val="24"/>
                <w:lang w:eastAsia="de-DE"/>
              </w:rPr>
            </w:pPr>
            <w:r>
              <w:rPr>
                <w:rFonts w:ascii="Calibri" w:hAnsi="Calibri"/>
                <w:sz w:val="24"/>
                <w:szCs w:val="24"/>
                <w:lang w:eastAsia="de-DE"/>
              </w:rPr>
              <w:t>Es handelt sich hierbei um eine abwägungsfehlerhafte Konfliktplanung.</w:t>
            </w:r>
          </w:p>
          <w:p>
            <w:pPr>
              <w:pStyle w:val="Normal"/>
              <w:suppressAutoHyphens w:val="false"/>
              <w:overflowPunct w:val="true"/>
              <w:spacing w:lineRule="exact" w:line="253" w:before="251" w:after="0"/>
              <w:ind w:left="288" w:right="113"/>
              <w:jc w:val="both"/>
              <w:textAlignment w:val="baseline"/>
              <w:rPr>
                <w:rFonts w:ascii="Calibri" w:hAnsi="Calibri"/>
                <w:sz w:val="24"/>
                <w:szCs w:val="24"/>
                <w:lang w:eastAsia="de-DE"/>
              </w:rPr>
            </w:pPr>
            <w:r>
              <w:rPr>
                <w:rFonts w:ascii="Calibri" w:hAnsi="Calibri"/>
                <w:sz w:val="24"/>
                <w:szCs w:val="24"/>
                <w:lang w:eastAsia="de-DE"/>
              </w:rPr>
              <w:t>3.</w:t>
              <w:tab/>
              <w:t>Es handelt sich nicht nur um eine abwägungsfehlerhafte Konfliktplanung, vielmehr ist die Planung auch deshalb, weil es sich bei der Planung im Bereich MD2 um eine Gefälligkeitsplanung handelt, auch um eine solche, die nicht erforderlich ist und daher mit § 1 Abs. 3 BauGB nicht zu vereinbaren ist.</w:t>
            </w:r>
          </w:p>
          <w:p>
            <w:pPr>
              <w:pStyle w:val="Normal"/>
              <w:suppressAutoHyphens w:val="false"/>
              <w:overflowPunct w:val="true"/>
              <w:spacing w:lineRule="exact" w:line="253" w:before="251" w:after="0"/>
              <w:ind w:left="288" w:right="113"/>
              <w:jc w:val="both"/>
              <w:textAlignment w:val="baseline"/>
              <w:rPr>
                <w:rFonts w:ascii="Calibri" w:hAnsi="Calibri"/>
                <w:sz w:val="24"/>
                <w:szCs w:val="24"/>
                <w:lang w:eastAsia="de-DE"/>
              </w:rPr>
            </w:pPr>
            <w:r>
              <w:rPr>
                <w:rFonts w:ascii="Calibri" w:hAnsi="Calibri"/>
                <w:sz w:val="24"/>
                <w:szCs w:val="24"/>
                <w:lang w:eastAsia="de-DE"/>
              </w:rPr>
              <w:t>Dem Vernehmen nach dient hier die verdichtete Wohnnutzungsmöglichkeit im Bereich MD2 allein den Interessen eines privaten Dritten.</w:t>
            </w:r>
          </w:p>
          <w:p>
            <w:pPr>
              <w:pStyle w:val="Normal"/>
              <w:suppressAutoHyphens w:val="false"/>
              <w:overflowPunct w:val="true"/>
              <w:spacing w:lineRule="exact" w:line="253" w:before="251" w:after="0"/>
              <w:ind w:left="288" w:right="113"/>
              <w:jc w:val="both"/>
              <w:textAlignment w:val="baseline"/>
              <w:rPr>
                <w:rFonts w:ascii="Calibri" w:hAnsi="Calibri"/>
                <w:sz w:val="24"/>
                <w:szCs w:val="24"/>
                <w:lang w:eastAsia="de-DE"/>
              </w:rPr>
            </w:pPr>
            <w:r>
              <w:rPr>
                <w:rFonts w:ascii="Calibri" w:hAnsi="Calibri"/>
                <w:sz w:val="24"/>
                <w:szCs w:val="24"/>
                <w:lang w:eastAsia="de-DE"/>
              </w:rPr>
              <w:t>Da sich eine Gefälligkeitsplanung im Interesse eines Einzelnen handelt, ist sie nicht erforderlich; der Planung fehlt daher das hierfür öffentliche Interesse.</w:t>
            </w:r>
          </w:p>
          <w:p>
            <w:pPr>
              <w:pStyle w:val="Normal"/>
              <w:suppressAutoHyphens w:val="false"/>
              <w:overflowPunct w:val="true"/>
              <w:spacing w:lineRule="exact" w:line="253" w:before="251" w:after="0"/>
              <w:ind w:left="288" w:right="113"/>
              <w:jc w:val="both"/>
              <w:textAlignment w:val="baseline"/>
              <w:rPr>
                <w:rFonts w:ascii="Calibri" w:hAnsi="Calibri"/>
                <w:sz w:val="24"/>
                <w:szCs w:val="24"/>
                <w:lang w:eastAsia="de-DE"/>
              </w:rPr>
            </w:pPr>
            <w:r>
              <w:rPr>
                <w:rFonts w:ascii="Calibri" w:hAnsi="Calibri"/>
                <w:sz w:val="24"/>
                <w:szCs w:val="24"/>
                <w:lang w:eastAsia="de-DE"/>
              </w:rPr>
              <w:t>4.</w:t>
              <w:tab/>
              <w:t>Auf abwägungs- und bewertungsrechtlicher Fehlbeurteilung beruht nicht nur der Umstand, dass durch den landwirtschaftlichen Betrieb des Mandanten die Grenzwerte für Lärm- und Geruchsimmissionen in dem angrenzenden Bereich MD2 aller Voraussicht nach überschritten werden, sondern auch der aktuelle Bestand des Betriebes des Mandanten gefährdet und die Nutzung der Weinbergsfläche eingeschränkt und eine künftige Ausweitung unmöglich gemacht wird.</w:t>
            </w:r>
          </w:p>
          <w:p>
            <w:pPr>
              <w:pStyle w:val="Normal"/>
              <w:suppressAutoHyphens w:val="false"/>
              <w:overflowPunct w:val="true"/>
              <w:spacing w:lineRule="exact" w:line="253" w:before="251" w:after="0"/>
              <w:ind w:left="288" w:right="113"/>
              <w:jc w:val="both"/>
              <w:textAlignment w:val="baseline"/>
              <w:rPr>
                <w:rFonts w:ascii="Calibri" w:hAnsi="Calibri"/>
                <w:sz w:val="24"/>
                <w:szCs w:val="24"/>
                <w:lang w:eastAsia="de-DE"/>
              </w:rPr>
            </w:pPr>
            <w:r>
              <w:rPr>
                <w:rFonts w:ascii="Calibri" w:hAnsi="Calibri"/>
                <w:sz w:val="24"/>
                <w:szCs w:val="24"/>
                <w:lang w:eastAsia="de-DE"/>
              </w:rPr>
              <w:t>Das schutzwürdige betriebliche Erweiterungs- und Modernisierungsinteresse des Mandanten wurde weder gesehen noch bewertet.</w:t>
            </w:r>
          </w:p>
          <w:p>
            <w:pPr>
              <w:pStyle w:val="Normal"/>
              <w:suppressAutoHyphens w:val="false"/>
              <w:overflowPunct w:val="true"/>
              <w:spacing w:lineRule="exact" w:line="253" w:before="251" w:after="0"/>
              <w:ind w:left="288" w:right="113"/>
              <w:jc w:val="both"/>
              <w:textAlignment w:val="baseline"/>
              <w:rPr>
                <w:rFonts w:ascii="Calibri" w:hAnsi="Calibri"/>
                <w:sz w:val="24"/>
                <w:szCs w:val="24"/>
                <w:lang w:eastAsia="de-DE"/>
              </w:rPr>
            </w:pPr>
            <w:r>
              <w:rPr>
                <w:rFonts w:ascii="Calibri" w:hAnsi="Calibri"/>
                <w:sz w:val="24"/>
                <w:szCs w:val="24"/>
                <w:lang w:eastAsia="de-DE"/>
              </w:rPr>
              <w:t>Das Entwicklungspotential des landwirtschaftlichen Betriebes des Mandanten und der damit zusammenhängende Anlieferverkehr und der damit daraus resultierenden Lärmimmissionen finden in der Begründung des Bebauungsplans keiner Erwähnung und Berücksichtigung, obwohl die maßgeblichen Lärmrichtwerte der TA-Lärm zumindest in den Herbstmonaten durch die Nutzung des Weinbaubetriebes und des Weinkelterns deutlich überschritten werden.</w:t>
            </w:r>
          </w:p>
          <w:p>
            <w:pPr>
              <w:pStyle w:val="Normal"/>
              <w:suppressAutoHyphens w:val="false"/>
              <w:overflowPunct w:val="true"/>
              <w:spacing w:lineRule="exact" w:line="253" w:before="251" w:after="0"/>
              <w:ind w:left="288" w:right="113"/>
              <w:jc w:val="both"/>
              <w:textAlignment w:val="baseline"/>
              <w:rPr>
                <w:rFonts w:ascii="Calibri" w:hAnsi="Calibri"/>
                <w:sz w:val="24"/>
                <w:szCs w:val="24"/>
                <w:lang w:eastAsia="de-DE"/>
              </w:rPr>
            </w:pPr>
            <w:r>
              <w:rPr>
                <w:rFonts w:ascii="Calibri" w:hAnsi="Calibri"/>
                <w:sz w:val="24"/>
                <w:szCs w:val="24"/>
                <w:lang w:eastAsia="de-DE"/>
              </w:rPr>
              <w:t>Die Ausweisung eines Planbereichs, der eine verdichtete Wohnnutzung vorsieht, in unmittelbarer Nähe zum landwirtschaftlichen genutzten Grundstück des Mandanten, widerspricht im Übrigen auch dem Trennungsgrundsatz des § 50 BinSchG und verletzt das Abwägungsgebot des § 1 Abs. 7 BauBG, das darauf gerichtet ist, die wechselseitigen Belange gegeneinander und untereinander gerecht abzuwägen und unverhältnismäßige und gleichheitswidrige Belastungen zu vermeiden.</w:t>
            </w:r>
          </w:p>
          <w:p>
            <w:pPr>
              <w:pStyle w:val="Normal"/>
              <w:suppressAutoHyphens w:val="false"/>
              <w:overflowPunct w:val="true"/>
              <w:spacing w:lineRule="exact" w:line="253" w:before="251" w:after="0"/>
              <w:ind w:left="288" w:right="113"/>
              <w:jc w:val="both"/>
              <w:textAlignment w:val="baseline"/>
              <w:rPr>
                <w:rFonts w:ascii="Calibri" w:hAnsi="Calibri"/>
                <w:sz w:val="24"/>
                <w:szCs w:val="24"/>
                <w:lang w:eastAsia="de-DE"/>
              </w:rPr>
            </w:pPr>
            <w:r>
              <w:rPr>
                <w:rFonts w:ascii="Calibri" w:hAnsi="Calibri"/>
                <w:sz w:val="24"/>
                <w:szCs w:val="24"/>
                <w:lang w:eastAsia="de-DE"/>
              </w:rPr>
              <w:t>5.</w:t>
              <w:tab/>
              <w:t>Es ist kein Grund ersichtlich, dass eine verdichtete Wohnbebauung im Planbereich MD2 zugelassen wird, wo die künftigen Wohnbauflächen von landwirtschaftlich genutzten Grundstücken und Betrieben eingerahmt werden, was künftige Konflikte erwarten lässt.</w:t>
            </w:r>
          </w:p>
          <w:p>
            <w:pPr>
              <w:pStyle w:val="Normal"/>
              <w:suppressAutoHyphens w:val="false"/>
              <w:overflowPunct w:val="true"/>
              <w:spacing w:lineRule="exact" w:line="253" w:before="251" w:after="0"/>
              <w:ind w:left="288" w:right="113"/>
              <w:jc w:val="both"/>
              <w:textAlignment w:val="baseline"/>
              <w:rPr>
                <w:rFonts w:ascii="Calibri" w:hAnsi="Calibri"/>
                <w:sz w:val="24"/>
                <w:szCs w:val="24"/>
                <w:lang w:eastAsia="de-DE"/>
              </w:rPr>
            </w:pPr>
            <w:r>
              <w:rPr>
                <w:rFonts w:ascii="Calibri" w:hAnsi="Calibri"/>
                <w:sz w:val="24"/>
                <w:szCs w:val="24"/>
                <w:lang w:eastAsia="de-DE"/>
              </w:rPr>
              <w:t>Zudem wird ferner auch die fehlende Erschließung, insbesondere das östliche der beiden Baufenster im Bereich MD2 nicht gewürdigt.</w:t>
            </w:r>
          </w:p>
          <w:p>
            <w:pPr>
              <w:pStyle w:val="Normal"/>
              <w:suppressAutoHyphens w:val="false"/>
              <w:overflowPunct w:val="true"/>
              <w:spacing w:lineRule="exact" w:line="253" w:before="251" w:after="0"/>
              <w:ind w:left="288" w:right="113"/>
              <w:jc w:val="both"/>
              <w:textAlignment w:val="baseline"/>
              <w:rPr>
                <w:rFonts w:ascii="Calibri" w:hAnsi="Calibri"/>
                <w:sz w:val="24"/>
                <w:szCs w:val="24"/>
                <w:lang w:eastAsia="de-DE"/>
              </w:rPr>
            </w:pPr>
            <w:r>
              <w:rPr>
                <w:rFonts w:ascii="Calibri" w:hAnsi="Calibri"/>
                <w:sz w:val="24"/>
                <w:szCs w:val="24"/>
                <w:lang w:eastAsia="de-DE"/>
              </w:rPr>
              <w:t>Die Grundstücke grenzen hier an die Wirtschaftswegeparzelle Nr. 146/2 an, bei der es sich also nicht um eine Erschießungsstraße handelt.</w:t>
            </w:r>
          </w:p>
          <w:p>
            <w:pPr>
              <w:pStyle w:val="Normal"/>
              <w:suppressAutoHyphens w:val="false"/>
              <w:overflowPunct w:val="true"/>
              <w:spacing w:lineRule="exact" w:line="253" w:before="251" w:after="0"/>
              <w:ind w:left="288" w:right="113"/>
              <w:jc w:val="both"/>
              <w:textAlignment w:val="baseline"/>
              <w:rPr>
                <w:rFonts w:ascii="Calibri" w:hAnsi="Calibri"/>
                <w:sz w:val="24"/>
                <w:szCs w:val="24"/>
                <w:lang w:eastAsia="de-DE"/>
              </w:rPr>
            </w:pPr>
            <w:r>
              <w:rPr>
                <w:rFonts w:ascii="Calibri" w:hAnsi="Calibri"/>
                <w:sz w:val="24"/>
                <w:szCs w:val="24"/>
                <w:lang w:eastAsia="de-DE"/>
              </w:rPr>
              <w:t>Es ist zwar nicht vorgesehen, das Plangebiet über diesen landwirtschaftlichen Weg zu erschließen.</w:t>
            </w:r>
          </w:p>
          <w:p>
            <w:pPr>
              <w:pStyle w:val="Normal"/>
              <w:suppressAutoHyphens w:val="false"/>
              <w:overflowPunct w:val="true"/>
              <w:spacing w:lineRule="exact" w:line="253" w:before="251" w:after="0"/>
              <w:ind w:left="288" w:right="113"/>
              <w:jc w:val="both"/>
              <w:textAlignment w:val="baseline"/>
              <w:rPr>
                <w:rFonts w:ascii="Calibri" w:hAnsi="Calibri"/>
                <w:sz w:val="24"/>
                <w:szCs w:val="24"/>
                <w:lang w:eastAsia="de-DE"/>
              </w:rPr>
            </w:pPr>
            <w:r>
              <w:rPr>
                <w:rFonts w:ascii="Calibri" w:hAnsi="Calibri"/>
                <w:sz w:val="24"/>
                <w:szCs w:val="24"/>
                <w:lang w:eastAsia="de-DE"/>
              </w:rPr>
              <w:t>Absehbar wird jedoch dieser landwirtschaftliche Weg künftig als Erschließungsstraße genutzt werden, was zu weiteren Beeinträchtigungen der Nutzung des Grundstücks des Mandanten führen wird.</w:t>
            </w:r>
          </w:p>
          <w:p>
            <w:pPr>
              <w:pStyle w:val="Normal"/>
              <w:suppressAutoHyphens w:val="false"/>
              <w:overflowPunct w:val="true"/>
              <w:spacing w:lineRule="exact" w:line="253" w:before="251" w:after="0"/>
              <w:ind w:left="288" w:right="113"/>
              <w:jc w:val="both"/>
              <w:textAlignment w:val="baseline"/>
              <w:rPr>
                <w:rFonts w:ascii="Calibri" w:hAnsi="Calibri"/>
                <w:sz w:val="24"/>
                <w:szCs w:val="24"/>
                <w:lang w:eastAsia="de-DE"/>
              </w:rPr>
            </w:pPr>
            <w:r>
              <w:rPr>
                <w:rFonts w:ascii="Calibri" w:hAnsi="Calibri"/>
                <w:sz w:val="24"/>
                <w:szCs w:val="24"/>
                <w:lang w:eastAsia="de-DE"/>
              </w:rPr>
              <w:t>Bei der Planung einer verdichteten Wohnnutzung im Bereich MD2 von bis zu 60 Wohnungen handelt es sich daher um einen groben und offensichtlich planerischen Missgriff.</w:t>
            </w:r>
          </w:p>
          <w:p>
            <w:pPr>
              <w:pStyle w:val="Normal"/>
              <w:suppressAutoHyphens w:val="false"/>
              <w:overflowPunct w:val="true"/>
              <w:spacing w:lineRule="exact" w:line="253" w:before="251" w:after="0"/>
              <w:ind w:left="288" w:right="113"/>
              <w:jc w:val="both"/>
              <w:textAlignment w:val="baseline"/>
              <w:rPr>
                <w:rFonts w:ascii="Calibri" w:hAnsi="Calibri"/>
                <w:sz w:val="24"/>
                <w:szCs w:val="24"/>
                <w:lang w:eastAsia="de-DE"/>
              </w:rPr>
            </w:pPr>
            <w:r>
              <w:rPr>
                <w:rFonts w:ascii="Calibri" w:hAnsi="Calibri"/>
                <w:sz w:val="24"/>
                <w:szCs w:val="24"/>
                <w:lang w:eastAsia="de-DE"/>
              </w:rPr>
            </w:r>
          </w:p>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r>
          </w:p>
        </w:tc>
      </w:tr>
    </w:tbl>
    <w:p>
      <w:pPr>
        <w:pStyle w:val="Normal"/>
        <w:suppressAutoHyphens w:val="false"/>
        <w:spacing w:before="0" w:after="240"/>
        <w:ind w:right="113"/>
        <w:jc w:val="both"/>
        <w:rPr>
          <w:rFonts w:ascii="Calibri" w:hAnsi="Calibri"/>
          <w:b/>
          <w:sz w:val="24"/>
          <w:lang w:eastAsia="de-DE"/>
        </w:rPr>
      </w:pPr>
      <w:r>
        <w:rPr>
          <w:rFonts w:ascii="Calibri" w:hAnsi="Calibri"/>
          <w:b/>
          <w:sz w:val="24"/>
          <w:lang w:eastAsia="de-DE"/>
        </w:rPr>
      </w:r>
    </w:p>
    <w:p>
      <w:pPr>
        <w:pStyle w:val="Normal"/>
        <w:keepNext w:val="true"/>
        <w:numPr>
          <w:ilvl w:val="0"/>
          <w:numId w:val="51"/>
        </w:numPr>
        <w:tabs>
          <w:tab w:val="clear" w:pos="709"/>
          <w:tab w:val="left" w:pos="2694" w:leader="none"/>
          <w:tab w:val="left" w:pos="8505" w:leader="none"/>
        </w:tabs>
        <w:suppressAutoHyphens w:val="false"/>
        <w:spacing w:before="360" w:after="100"/>
        <w:ind w:hanging="432" w:left="858" w:right="-29"/>
        <w:jc w:val="both"/>
        <w:outlineLvl w:val="0"/>
        <w:rPr>
          <w:rFonts w:ascii="Calibri" w:hAnsi="Calibri"/>
          <w:b/>
          <w:sz w:val="22"/>
          <w:lang w:eastAsia="de-DE"/>
        </w:rPr>
      </w:pPr>
      <w:r>
        <w:rPr>
          <w:rFonts w:ascii="Calibri" w:hAnsi="Calibri"/>
          <w:b/>
          <w:sz w:val="22"/>
          <w:lang w:eastAsia="de-DE"/>
        </w:rPr>
        <w:t>Privat 5</w:t>
      </w:r>
    </w:p>
    <w:tbl>
      <w:tblPr>
        <w:tblW w:w="14454"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206"/>
        <w:gridCol w:w="14247"/>
      </w:tblGrid>
      <w:tr>
        <w:trPr>
          <w:tblHeader w:val="true"/>
        </w:trPr>
        <w:tc>
          <w:tcPr>
            <w:tcW w:w="14453" w:type="dxa"/>
            <w:gridSpan w:val="2"/>
            <w:tcBorders>
              <w:top w:val="single" w:sz="4" w:space="0" w:color="000000"/>
              <w:left w:val="single" w:sz="4" w:space="0" w:color="000000"/>
              <w:bottom w:val="single" w:sz="4" w:space="0" w:color="000000"/>
              <w:right w:val="single" w:sz="4" w:space="0" w:color="000000"/>
            </w:tcBorders>
            <w:shd w:color="auto" w:fill="FFFFFF" w:val="pct12"/>
          </w:tcPr>
          <w:p>
            <w:pPr>
              <w:pStyle w:val="Normal"/>
              <w:tabs>
                <w:tab w:val="clear" w:pos="709"/>
                <w:tab w:val="left" w:pos="1875" w:leader="none"/>
              </w:tabs>
              <w:suppressAutoHyphens w:val="false"/>
              <w:ind w:right="113"/>
              <w:jc w:val="both"/>
              <w:rPr>
                <w:rFonts w:ascii="Calibri" w:hAnsi="Calibri"/>
                <w:b/>
                <w:sz w:val="22"/>
                <w:lang w:eastAsia="de-DE"/>
              </w:rPr>
            </w:pPr>
            <w:r>
              <w:rPr>
                <w:rFonts w:ascii="Calibri" w:hAnsi="Calibri"/>
                <w:b/>
                <w:sz w:val="22"/>
                <w:lang w:eastAsia="de-DE"/>
              </w:rPr>
              <w:t>Anregung</w:t>
            </w:r>
          </w:p>
        </w:tc>
      </w:tr>
      <w:tr>
        <w:trPr/>
        <w:tc>
          <w:tcPr>
            <w:tcW w:w="206" w:type="dxa"/>
            <w:tcBorders>
              <w:top w:val="single" w:sz="4" w:space="0" w:color="000000"/>
              <w:left w:val="single" w:sz="4" w:space="0" w:color="000000"/>
              <w:bottom w:val="single" w:sz="4" w:space="0" w:color="000000"/>
            </w:tcBorders>
          </w:tcPr>
          <w:p>
            <w:pPr>
              <w:pStyle w:val="Normal"/>
              <w:widowControl w:val="false"/>
              <w:tabs>
                <w:tab w:val="clear" w:pos="709"/>
                <w:tab w:val="left" w:pos="708" w:leader="none"/>
                <w:tab w:val="center" w:pos="4536" w:leader="none"/>
                <w:tab w:val="right" w:pos="9072" w:leader="none"/>
              </w:tabs>
              <w:suppressAutoHyphens w:val="false"/>
              <w:ind w:right="113"/>
              <w:jc w:val="right"/>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r>
          </w:p>
        </w:tc>
        <w:tc>
          <w:tcPr>
            <w:tcW w:w="14247" w:type="dxa"/>
            <w:tcBorders>
              <w:top w:val="single" w:sz="4" w:space="0" w:color="000000"/>
              <w:bottom w:val="single" w:sz="4" w:space="0" w:color="000000"/>
              <w:right w:val="single" w:sz="4" w:space="0" w:color="000000"/>
            </w:tcBorders>
          </w:tcPr>
          <w:p>
            <w:pPr>
              <w:pStyle w:val="Normal"/>
              <w:suppressAutoHyphens w:val="false"/>
              <w:overflowPunct w:val="true"/>
              <w:spacing w:lineRule="exact" w:line="277" w:before="827" w:after="0"/>
              <w:ind w:right="113"/>
              <w:jc w:val="both"/>
              <w:textAlignment w:val="baseline"/>
              <w:rPr>
                <w:sz w:val="24"/>
                <w:szCs w:val="24"/>
                <w:lang w:eastAsia="de-DE"/>
              </w:rPr>
            </w:pPr>
            <w:r>
              <w:rPr>
                <w:rFonts w:ascii="Calibri" w:hAnsi="Calibri"/>
                <w:sz w:val="24"/>
                <w:szCs w:val="24"/>
                <w:lang w:eastAsia="de-DE"/>
              </w:rPr>
              <w:t>Sehr geehrte Damen &amp; Herren,</w:t>
            </w:r>
          </w:p>
          <w:p>
            <w:pPr>
              <w:pStyle w:val="Normal"/>
              <w:suppressAutoHyphens w:val="false"/>
              <w:overflowPunct w:val="true"/>
              <w:spacing w:lineRule="exact" w:line="274" w:before="278" w:after="0"/>
              <w:ind w:right="72"/>
              <w:jc w:val="both"/>
              <w:textAlignment w:val="baseline"/>
              <w:rPr>
                <w:rFonts w:ascii="Calibri" w:hAnsi="Calibri"/>
                <w:sz w:val="24"/>
                <w:szCs w:val="24"/>
                <w:lang w:eastAsia="de-DE"/>
              </w:rPr>
            </w:pPr>
            <w:r>
              <w:rPr>
                <w:rFonts w:ascii="Calibri" w:hAnsi="Calibri"/>
                <w:sz w:val="24"/>
                <w:szCs w:val="24"/>
                <w:lang w:eastAsia="de-DE"/>
              </w:rPr>
              <w:t>In Bezug auf vorgen. Bebauungsplan ist offensichtlich geplant, eine Vielzahl von Wohneinheiten im Bereich von MD2 zu erstellen.</w:t>
            </w:r>
          </w:p>
          <w:p>
            <w:pPr>
              <w:pStyle w:val="Normal"/>
              <w:suppressAutoHyphens w:val="false"/>
              <w:overflowPunct w:val="true"/>
              <w:spacing w:lineRule="exact" w:line="274" w:before="4" w:after="0"/>
              <w:ind w:right="504"/>
              <w:jc w:val="both"/>
              <w:textAlignment w:val="baseline"/>
              <w:rPr>
                <w:rFonts w:ascii="Calibri" w:hAnsi="Calibri"/>
                <w:sz w:val="24"/>
                <w:szCs w:val="24"/>
                <w:lang w:eastAsia="de-DE"/>
              </w:rPr>
            </w:pPr>
            <w:r>
              <w:rPr>
                <w:rFonts w:ascii="Calibri" w:hAnsi="Calibri"/>
                <w:sz w:val="24"/>
                <w:szCs w:val="24"/>
                <w:lang w:eastAsia="de-DE"/>
              </w:rPr>
              <w:t>Unser Grundstück befindet sich am Anfang der ausgebauten Verlängerung der Beethovenstraße Flur 23 Parz. 7 die bisher immer als Schloßbergstraße benannt wurde.</w:t>
            </w:r>
          </w:p>
          <w:p>
            <w:pPr>
              <w:pStyle w:val="Normal"/>
              <w:suppressAutoHyphens w:val="false"/>
              <w:overflowPunct w:val="true"/>
              <w:spacing w:lineRule="exact" w:line="275" w:before="2" w:after="0"/>
              <w:ind w:right="144"/>
              <w:jc w:val="both"/>
              <w:textAlignment w:val="baseline"/>
              <w:rPr>
                <w:rFonts w:ascii="Calibri" w:hAnsi="Calibri"/>
                <w:sz w:val="24"/>
                <w:szCs w:val="24"/>
                <w:lang w:eastAsia="de-DE"/>
              </w:rPr>
            </w:pPr>
            <w:r>
              <w:rPr>
                <w:rFonts w:ascii="Calibri" w:hAnsi="Calibri"/>
                <w:sz w:val="24"/>
                <w:szCs w:val="24"/>
                <w:lang w:eastAsia="de-DE"/>
              </w:rPr>
              <w:t>In Erwartung eines stark erhöhten Verkehrsaufkommens und komplett neuem Ausbau der Zuwegung ( Verlängerung Beethovenstraße ? bzw. Schloßbergstraße ) erschließt sich mir nicht, wer die Kosten der Maßnahme trägt.</w:t>
            </w:r>
          </w:p>
          <w:p>
            <w:pPr>
              <w:pStyle w:val="Normal"/>
              <w:suppressAutoHyphens w:val="false"/>
              <w:overflowPunct w:val="true"/>
              <w:spacing w:lineRule="exact" w:line="276"/>
              <w:ind w:right="113"/>
              <w:jc w:val="both"/>
              <w:textAlignment w:val="baseline"/>
              <w:rPr>
                <w:rFonts w:ascii="Calibri" w:hAnsi="Calibri"/>
                <w:sz w:val="24"/>
                <w:szCs w:val="24"/>
                <w:lang w:eastAsia="de-DE"/>
              </w:rPr>
            </w:pPr>
            <w:r>
              <w:rPr>
                <w:rFonts w:ascii="Calibri" w:hAnsi="Calibri"/>
                <w:sz w:val="24"/>
                <w:szCs w:val="24"/>
                <w:lang w:eastAsia="de-DE"/>
              </w:rPr>
              <w:t>Ich gehe daher davon aus, dass ich mit diesen Kosten nicht belastet werde.</w:t>
            </w:r>
          </w:p>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r>
          </w:p>
        </w:tc>
      </w:tr>
    </w:tbl>
    <w:p>
      <w:pPr>
        <w:pStyle w:val="Normal"/>
        <w:suppressAutoHyphens w:val="false"/>
        <w:spacing w:before="0" w:after="240"/>
        <w:ind w:right="113"/>
        <w:jc w:val="both"/>
        <w:rPr>
          <w:rFonts w:ascii="Calibri" w:hAnsi="Calibri"/>
          <w:b/>
          <w:sz w:val="24"/>
          <w:lang w:eastAsia="de-DE"/>
        </w:rPr>
      </w:pPr>
      <w:r>
        <w:rPr>
          <w:rFonts w:ascii="Calibri" w:hAnsi="Calibri"/>
          <w:b/>
          <w:sz w:val="24"/>
          <w:lang w:eastAsia="de-DE"/>
        </w:rPr>
      </w:r>
    </w:p>
    <w:p>
      <w:pPr>
        <w:pStyle w:val="Normal"/>
        <w:keepNext w:val="true"/>
        <w:numPr>
          <w:ilvl w:val="0"/>
          <w:numId w:val="52"/>
        </w:numPr>
        <w:tabs>
          <w:tab w:val="clear" w:pos="709"/>
          <w:tab w:val="left" w:pos="2694" w:leader="none"/>
          <w:tab w:val="left" w:pos="8505" w:leader="none"/>
        </w:tabs>
        <w:suppressAutoHyphens w:val="false"/>
        <w:spacing w:before="360" w:after="100"/>
        <w:ind w:hanging="432" w:left="858" w:right="-29"/>
        <w:jc w:val="both"/>
        <w:outlineLvl w:val="0"/>
        <w:rPr>
          <w:rFonts w:ascii="Calibri" w:hAnsi="Calibri"/>
          <w:b/>
          <w:sz w:val="22"/>
          <w:lang w:eastAsia="de-DE"/>
        </w:rPr>
      </w:pPr>
      <w:r>
        <w:rPr>
          <w:rFonts w:ascii="Calibri" w:hAnsi="Calibri"/>
          <w:b/>
          <w:sz w:val="22"/>
          <w:lang w:eastAsia="de-DE"/>
        </w:rPr>
        <w:t>Privat 6</w:t>
      </w:r>
    </w:p>
    <w:tbl>
      <w:tblPr>
        <w:tblW w:w="14454"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206"/>
        <w:gridCol w:w="14247"/>
      </w:tblGrid>
      <w:tr>
        <w:trPr>
          <w:tblHeader w:val="true"/>
        </w:trPr>
        <w:tc>
          <w:tcPr>
            <w:tcW w:w="14453" w:type="dxa"/>
            <w:gridSpan w:val="2"/>
            <w:tcBorders>
              <w:top w:val="single" w:sz="4" w:space="0" w:color="000000"/>
              <w:left w:val="single" w:sz="4" w:space="0" w:color="000000"/>
              <w:bottom w:val="single" w:sz="4" w:space="0" w:color="000000"/>
              <w:right w:val="single" w:sz="4" w:space="0" w:color="000000"/>
            </w:tcBorders>
            <w:shd w:color="auto" w:fill="FFFFFF" w:val="pct12"/>
          </w:tcPr>
          <w:p>
            <w:pPr>
              <w:pStyle w:val="Normal"/>
              <w:tabs>
                <w:tab w:val="clear" w:pos="709"/>
                <w:tab w:val="left" w:pos="1875" w:leader="none"/>
              </w:tabs>
              <w:suppressAutoHyphens w:val="false"/>
              <w:ind w:right="113"/>
              <w:jc w:val="both"/>
              <w:rPr>
                <w:rFonts w:ascii="Calibri" w:hAnsi="Calibri"/>
                <w:b/>
                <w:sz w:val="22"/>
                <w:lang w:eastAsia="de-DE"/>
              </w:rPr>
            </w:pPr>
            <w:r>
              <w:rPr>
                <w:rFonts w:ascii="Calibri" w:hAnsi="Calibri"/>
                <w:b/>
                <w:sz w:val="22"/>
                <w:lang w:eastAsia="de-DE"/>
              </w:rPr>
              <w:t>Anregung</w:t>
            </w:r>
          </w:p>
        </w:tc>
      </w:tr>
      <w:tr>
        <w:trPr/>
        <w:tc>
          <w:tcPr>
            <w:tcW w:w="206" w:type="dxa"/>
            <w:tcBorders>
              <w:top w:val="single" w:sz="4" w:space="0" w:color="000000"/>
              <w:left w:val="single" w:sz="4" w:space="0" w:color="000000"/>
              <w:bottom w:val="single" w:sz="4" w:space="0" w:color="000000"/>
            </w:tcBorders>
          </w:tcPr>
          <w:p>
            <w:pPr>
              <w:pStyle w:val="Normal"/>
              <w:widowControl w:val="false"/>
              <w:tabs>
                <w:tab w:val="clear" w:pos="709"/>
                <w:tab w:val="left" w:pos="708" w:leader="none"/>
                <w:tab w:val="center" w:pos="4536" w:leader="none"/>
                <w:tab w:val="right" w:pos="9072" w:leader="none"/>
              </w:tabs>
              <w:suppressAutoHyphens w:val="false"/>
              <w:ind w:right="113"/>
              <w:jc w:val="right"/>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r>
          </w:p>
        </w:tc>
        <w:tc>
          <w:tcPr>
            <w:tcW w:w="14247" w:type="dxa"/>
            <w:tcBorders>
              <w:top w:val="single" w:sz="4" w:space="0" w:color="000000"/>
              <w:bottom w:val="single" w:sz="4" w:space="0" w:color="000000"/>
              <w:right w:val="single" w:sz="4" w:space="0" w:color="000000"/>
            </w:tcBorders>
          </w:tcPr>
          <w:p>
            <w:pPr>
              <w:pStyle w:val="Normal"/>
              <w:suppressAutoHyphens w:val="false"/>
              <w:overflowPunct w:val="true"/>
              <w:spacing w:lineRule="exact" w:line="285" w:before="1039" w:after="0"/>
              <w:ind w:right="113"/>
              <w:jc w:val="both"/>
              <w:textAlignment w:val="baseline"/>
              <w:rPr>
                <w:rFonts w:ascii="Tahoma" w:hAnsi="Tahoma" w:cs="Tahoma"/>
                <w:sz w:val="19"/>
                <w:szCs w:val="19"/>
                <w:lang w:eastAsia="de-DE"/>
              </w:rPr>
            </w:pPr>
            <w:r>
              <w:rPr>
                <w:rFonts w:cs="Tahoma" w:ascii="Tahoma" w:hAnsi="Tahoma"/>
                <w:sz w:val="19"/>
                <w:szCs w:val="19"/>
                <w:lang w:eastAsia="de-DE"/>
              </w:rPr>
              <w:t>Die in der Planung vorgesehene Bebauung von MD2 liegt oberhalb des Weges über meinem Haus-Grundstück. Nach meiner Information umfasst sie eine Vielzahl von Wohneinheiten.</w:t>
            </w:r>
          </w:p>
          <w:p>
            <w:pPr>
              <w:pStyle w:val="Normal"/>
              <w:suppressAutoHyphens w:val="false"/>
              <w:overflowPunct w:val="true"/>
              <w:spacing w:lineRule="exact" w:line="298" w:before="147" w:after="0"/>
              <w:ind w:right="113"/>
              <w:jc w:val="both"/>
              <w:textAlignment w:val="baseline"/>
              <w:rPr>
                <w:rFonts w:ascii="Tahoma" w:hAnsi="Tahoma" w:cs="Tahoma"/>
                <w:sz w:val="19"/>
                <w:szCs w:val="19"/>
                <w:lang w:eastAsia="de-DE"/>
              </w:rPr>
            </w:pPr>
            <w:r>
              <w:rPr>
                <w:rFonts w:cs="Tahoma" w:ascii="Tahoma" w:hAnsi="Tahoma"/>
                <w:sz w:val="19"/>
                <w:szCs w:val="19"/>
                <w:lang w:eastAsia="de-DE"/>
              </w:rPr>
              <w:t>Daraus folgt ein erhöhtes Aufkommen des Verkehrs sowie parkender Autos auf dem Weg und den angrenzenden Straßen.</w:t>
            </w:r>
          </w:p>
          <w:p>
            <w:pPr>
              <w:pStyle w:val="Normal"/>
              <w:suppressAutoHyphens w:val="false"/>
              <w:overflowPunct w:val="true"/>
              <w:spacing w:lineRule="exact" w:line="291" w:before="139" w:after="0"/>
              <w:ind w:right="113"/>
              <w:jc w:val="both"/>
              <w:textAlignment w:val="baseline"/>
              <w:rPr>
                <w:rFonts w:ascii="Tahoma" w:hAnsi="Tahoma" w:cs="Tahoma"/>
                <w:sz w:val="19"/>
                <w:szCs w:val="19"/>
                <w:lang w:eastAsia="de-DE"/>
              </w:rPr>
            </w:pPr>
            <w:r>
              <w:rPr>
                <w:rFonts w:cs="Tahoma" w:ascii="Tahoma" w:hAnsi="Tahoma"/>
                <w:sz w:val="19"/>
                <w:szCs w:val="19"/>
                <w:lang w:eastAsia="de-DE"/>
              </w:rPr>
              <w:t>Es steht zu erwarten, dass der Weg ausgebaut werden muss. Hier schließt sich die Frage nach den Kosten des Ausbaus und wer die Kosten der Maßnahme trägt.</w:t>
            </w:r>
          </w:p>
          <w:p>
            <w:pPr>
              <w:pStyle w:val="Normal"/>
              <w:suppressAutoHyphens w:val="false"/>
              <w:overflowPunct w:val="true"/>
              <w:spacing w:lineRule="exact" w:line="233" w:before="217" w:after="0"/>
              <w:ind w:right="113"/>
              <w:jc w:val="both"/>
              <w:textAlignment w:val="baseline"/>
              <w:rPr>
                <w:rFonts w:ascii="Tahoma" w:hAnsi="Tahoma" w:cs="Tahoma"/>
                <w:spacing w:val="4"/>
                <w:sz w:val="19"/>
                <w:szCs w:val="19"/>
                <w:lang w:eastAsia="de-DE"/>
              </w:rPr>
            </w:pPr>
            <w:r>
              <w:rPr>
                <w:rFonts w:cs="Tahoma" w:ascii="Tahoma" w:hAnsi="Tahoma"/>
                <w:spacing w:val="4"/>
                <w:sz w:val="19"/>
                <w:szCs w:val="19"/>
                <w:lang w:eastAsia="de-DE"/>
              </w:rPr>
              <w:t>Ich gehe davon aus, dass ich mit diesen Kosten nicht belastet werde.</w:t>
            </w:r>
          </w:p>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r>
          </w:p>
        </w:tc>
      </w:tr>
    </w:tbl>
    <w:p>
      <w:pPr>
        <w:pStyle w:val="Normal"/>
        <w:suppressAutoHyphens w:val="false"/>
        <w:spacing w:before="0" w:after="240"/>
        <w:ind w:right="113"/>
        <w:jc w:val="both"/>
        <w:rPr>
          <w:rFonts w:ascii="Calibri" w:hAnsi="Calibri"/>
          <w:b/>
          <w:sz w:val="24"/>
          <w:lang w:eastAsia="de-DE"/>
        </w:rPr>
      </w:pPr>
      <w:r>
        <w:rPr>
          <w:rFonts w:ascii="Calibri" w:hAnsi="Calibri"/>
          <w:b/>
          <w:sz w:val="24"/>
          <w:lang w:eastAsia="de-DE"/>
        </w:rPr>
      </w:r>
    </w:p>
    <w:tbl>
      <w:tblPr>
        <w:tblW w:w="14454"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206"/>
        <w:gridCol w:w="14247"/>
      </w:tblGrid>
      <w:tr>
        <w:trPr>
          <w:tblHeader w:val="true"/>
        </w:trPr>
        <w:tc>
          <w:tcPr>
            <w:tcW w:w="14453" w:type="dxa"/>
            <w:gridSpan w:val="2"/>
            <w:tcBorders>
              <w:top w:val="single" w:sz="4" w:space="0" w:color="000000"/>
              <w:left w:val="single" w:sz="4" w:space="0" w:color="000000"/>
              <w:bottom w:val="single" w:sz="4" w:space="0" w:color="000000"/>
              <w:right w:val="single" w:sz="4" w:space="0" w:color="000000"/>
            </w:tcBorders>
            <w:shd w:color="auto" w:fill="FFFFFF" w:val="pct12"/>
          </w:tcPr>
          <w:p>
            <w:pPr>
              <w:pStyle w:val="Normal"/>
              <w:tabs>
                <w:tab w:val="clear" w:pos="709"/>
                <w:tab w:val="left" w:pos="1875" w:leader="none"/>
              </w:tabs>
              <w:suppressAutoHyphens w:val="false"/>
              <w:ind w:right="113"/>
              <w:jc w:val="both"/>
              <w:rPr>
                <w:rFonts w:ascii="Calibri" w:hAnsi="Calibri"/>
                <w:b/>
                <w:sz w:val="22"/>
                <w:lang w:eastAsia="de-DE"/>
              </w:rPr>
            </w:pPr>
            <w:r>
              <w:rPr>
                <w:rFonts w:ascii="Calibri" w:hAnsi="Calibri"/>
                <w:b/>
                <w:sz w:val="22"/>
                <w:lang w:eastAsia="de-DE"/>
              </w:rPr>
              <w:t>Weitere Anregung Privat 6</w:t>
            </w:r>
          </w:p>
        </w:tc>
      </w:tr>
      <w:tr>
        <w:trPr/>
        <w:tc>
          <w:tcPr>
            <w:tcW w:w="206" w:type="dxa"/>
            <w:tcBorders>
              <w:top w:val="single" w:sz="4" w:space="0" w:color="000000"/>
              <w:left w:val="single" w:sz="4" w:space="0" w:color="000000"/>
              <w:bottom w:val="single" w:sz="4" w:space="0" w:color="000000"/>
            </w:tcBorders>
          </w:tcPr>
          <w:p>
            <w:pPr>
              <w:pStyle w:val="Normal"/>
              <w:widowControl w:val="false"/>
              <w:tabs>
                <w:tab w:val="clear" w:pos="709"/>
                <w:tab w:val="left" w:pos="708" w:leader="none"/>
                <w:tab w:val="center" w:pos="4536" w:leader="none"/>
                <w:tab w:val="right" w:pos="9072" w:leader="none"/>
              </w:tabs>
              <w:suppressAutoHyphens w:val="false"/>
              <w:ind w:right="113"/>
              <w:jc w:val="right"/>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r>
          </w:p>
        </w:tc>
        <w:tc>
          <w:tcPr>
            <w:tcW w:w="14247" w:type="dxa"/>
            <w:tcBorders>
              <w:top w:val="single" w:sz="4" w:space="0" w:color="000000"/>
              <w:bottom w:val="single" w:sz="4" w:space="0" w:color="000000"/>
              <w:right w:val="single" w:sz="4" w:space="0" w:color="000000"/>
            </w:tcBorders>
          </w:tcPr>
          <w:p>
            <w:pPr>
              <w:pStyle w:val="Normal"/>
              <w:suppressAutoHyphens w:val="false"/>
              <w:overflowPunct w:val="true"/>
              <w:spacing w:lineRule="exact" w:line="298" w:before="147" w:after="0"/>
              <w:ind w:right="113"/>
              <w:jc w:val="both"/>
              <w:textAlignment w:val="baseline"/>
              <w:rPr>
                <w:rFonts w:ascii="Tahoma" w:hAnsi="Tahoma" w:cs="Tahoma"/>
                <w:sz w:val="19"/>
                <w:szCs w:val="19"/>
                <w:lang w:eastAsia="de-DE"/>
              </w:rPr>
            </w:pPr>
            <w:r>
              <w:rPr>
                <w:rFonts w:cs="Tahoma" w:ascii="Tahoma" w:hAnsi="Tahoma"/>
                <w:sz w:val="19"/>
                <w:szCs w:val="19"/>
                <w:lang w:eastAsia="de-DE"/>
              </w:rPr>
              <w:t>hiermit möchte ich mich auf mein Schreiben vom 02.12.2022 beziehen, auf welches Sie leider bis heute nicht geantwortet haben. In diesem Schreiben (liegt als Anlage anbei) haben wir uns bereits dagegen ausgesprochen.</w:t>
            </w:r>
          </w:p>
          <w:p>
            <w:pPr>
              <w:pStyle w:val="Normal"/>
              <w:suppressAutoHyphens w:val="false"/>
              <w:overflowPunct w:val="true"/>
              <w:spacing w:lineRule="exact" w:line="298" w:before="147" w:after="0"/>
              <w:ind w:right="113"/>
              <w:jc w:val="both"/>
              <w:textAlignment w:val="baseline"/>
              <w:rPr>
                <w:rFonts w:ascii="Tahoma" w:hAnsi="Tahoma" w:cs="Tahoma"/>
                <w:sz w:val="19"/>
                <w:szCs w:val="19"/>
                <w:lang w:eastAsia="de-DE"/>
              </w:rPr>
            </w:pPr>
            <w:r>
              <w:rPr>
                <w:rFonts w:cs="Tahoma" w:ascii="Tahoma" w:hAnsi="Tahoma"/>
                <w:sz w:val="19"/>
                <w:szCs w:val="19"/>
                <w:lang w:eastAsia="de-DE"/>
              </w:rPr>
              <w:t>Wir möchten durch diesen Einspruch nochmals deutlich darlegen, aus welchen Gründen wir gegen das Neubaugebiet sind.</w:t>
            </w:r>
          </w:p>
          <w:p>
            <w:pPr>
              <w:pStyle w:val="Normal"/>
              <w:suppressAutoHyphens w:val="false"/>
              <w:overflowPunct w:val="true"/>
              <w:spacing w:lineRule="exact" w:line="298" w:before="147" w:after="0"/>
              <w:ind w:right="113"/>
              <w:jc w:val="both"/>
              <w:textAlignment w:val="baseline"/>
              <w:rPr>
                <w:rFonts w:ascii="Tahoma" w:hAnsi="Tahoma" w:cs="Tahoma"/>
                <w:sz w:val="19"/>
                <w:szCs w:val="19"/>
                <w:lang w:eastAsia="de-DE"/>
              </w:rPr>
            </w:pPr>
            <w:r>
              <w:rPr>
                <w:rFonts w:cs="Tahoma" w:ascii="Tahoma" w:hAnsi="Tahoma"/>
                <w:sz w:val="19"/>
                <w:szCs w:val="19"/>
                <w:lang w:eastAsia="de-DE"/>
              </w:rPr>
              <w:t>-unsere Grundstücke sind durch die Hochstraße bereits erschlossen und bezahlt</w:t>
            </w:r>
          </w:p>
          <w:p>
            <w:pPr>
              <w:pStyle w:val="Normal"/>
              <w:suppressAutoHyphens w:val="false"/>
              <w:overflowPunct w:val="true"/>
              <w:spacing w:lineRule="exact" w:line="298" w:before="147" w:after="0"/>
              <w:ind w:right="113"/>
              <w:jc w:val="both"/>
              <w:textAlignment w:val="baseline"/>
              <w:rPr>
                <w:rFonts w:ascii="Tahoma" w:hAnsi="Tahoma" w:cs="Tahoma"/>
                <w:sz w:val="19"/>
                <w:szCs w:val="19"/>
                <w:lang w:eastAsia="de-DE"/>
              </w:rPr>
            </w:pPr>
            <w:r>
              <w:rPr>
                <w:rFonts w:cs="Tahoma" w:ascii="Tahoma" w:hAnsi="Tahoma"/>
                <w:sz w:val="19"/>
                <w:szCs w:val="19"/>
                <w:lang w:eastAsia="de-DE"/>
              </w:rPr>
              <w:t xml:space="preserve">-die Grundstücke durften von </w:t>
            </w:r>
            <w:r>
              <w:rPr>
                <w:rFonts w:cs="Tahoma" w:ascii="Tahoma" w:hAnsi="Tahoma"/>
                <w:b/>
                <w:i/>
                <w:sz w:val="19"/>
                <w:szCs w:val="19"/>
                <w:lang w:eastAsia="de-DE"/>
              </w:rPr>
              <w:t>anonymisiert</w:t>
            </w:r>
            <w:r>
              <w:rPr>
                <w:rFonts w:cs="Tahoma" w:ascii="Tahoma" w:hAnsi="Tahoma"/>
                <w:sz w:val="19"/>
                <w:szCs w:val="19"/>
                <w:lang w:eastAsia="de-DE"/>
              </w:rPr>
              <w:t xml:space="preserve"> damals nicht von oben bebaut werden, da es keine Zufahrt gab, dadurch konnten diese nie bebaut werden.</w:t>
            </w:r>
          </w:p>
          <w:p>
            <w:pPr>
              <w:pStyle w:val="Normal"/>
              <w:suppressAutoHyphens w:val="false"/>
              <w:overflowPunct w:val="true"/>
              <w:spacing w:lineRule="exact" w:line="298" w:before="147" w:after="0"/>
              <w:ind w:right="113"/>
              <w:jc w:val="both"/>
              <w:textAlignment w:val="baseline"/>
              <w:rPr>
                <w:rFonts w:ascii="Tahoma" w:hAnsi="Tahoma" w:cs="Tahoma"/>
                <w:sz w:val="19"/>
                <w:szCs w:val="19"/>
                <w:lang w:eastAsia="de-DE"/>
              </w:rPr>
            </w:pPr>
            <w:r>
              <w:rPr>
                <w:rFonts w:cs="Tahoma" w:ascii="Tahoma" w:hAnsi="Tahoma"/>
                <w:sz w:val="19"/>
                <w:szCs w:val="19"/>
                <w:lang w:eastAsia="de-DE"/>
              </w:rPr>
              <w:t>-aus diesem Grund haben wir keine Zufahrt von oben auf unsere eigenen Grundstücke -das ist heute der Grund , dass uns der Weinwirtschaftsweg völlig ausreicht,</w:t>
            </w:r>
          </w:p>
          <w:p>
            <w:pPr>
              <w:pStyle w:val="Normal"/>
              <w:suppressAutoHyphens w:val="false"/>
              <w:overflowPunct w:val="true"/>
              <w:spacing w:lineRule="exact" w:line="298" w:before="147" w:after="0"/>
              <w:ind w:right="113"/>
              <w:jc w:val="both"/>
              <w:textAlignment w:val="baseline"/>
              <w:rPr>
                <w:rFonts w:ascii="Tahoma" w:hAnsi="Tahoma" w:cs="Tahoma"/>
                <w:sz w:val="19"/>
                <w:szCs w:val="19"/>
                <w:lang w:eastAsia="de-DE"/>
              </w:rPr>
            </w:pPr>
            <w:r>
              <w:rPr>
                <w:rFonts w:cs="Tahoma" w:ascii="Tahoma" w:hAnsi="Tahoma"/>
                <w:sz w:val="19"/>
                <w:szCs w:val="19"/>
                <w:lang w:eastAsia="de-DE"/>
              </w:rPr>
              <w:t>-aus oben genannten Gründen sind wir nicht bereit, die Erschließungskosten für drei Parzellen mitzutragen, uns genügt der Weinwirtschaftsweg.</w:t>
            </w:r>
          </w:p>
          <w:p>
            <w:pPr>
              <w:pStyle w:val="Normal"/>
              <w:suppressAutoHyphens w:val="false"/>
              <w:overflowPunct w:val="true"/>
              <w:spacing w:lineRule="exact" w:line="298" w:before="147" w:after="240"/>
              <w:ind w:right="113"/>
              <w:jc w:val="both"/>
              <w:rPr>
                <w:rFonts w:ascii="Tahoma" w:hAnsi="Tahoma" w:cs="Tahoma"/>
                <w:sz w:val="19"/>
                <w:szCs w:val="19"/>
                <w:lang w:eastAsia="de-DE"/>
              </w:rPr>
            </w:pPr>
            <w:r>
              <w:rPr>
                <w:rFonts w:cs="Tahoma" w:ascii="Tahoma" w:hAnsi="Tahoma"/>
                <w:sz w:val="19"/>
                <w:szCs w:val="19"/>
                <w:lang w:eastAsia="de-DE"/>
              </w:rPr>
            </w:r>
          </w:p>
        </w:tc>
      </w:tr>
    </w:tbl>
    <w:p>
      <w:pPr>
        <w:pStyle w:val="Normal"/>
        <w:suppressAutoHyphens w:val="false"/>
        <w:spacing w:before="0" w:after="240"/>
        <w:ind w:right="113"/>
        <w:jc w:val="both"/>
        <w:rPr>
          <w:rFonts w:ascii="Calibri" w:hAnsi="Calibri"/>
          <w:b/>
          <w:sz w:val="24"/>
          <w:lang w:eastAsia="de-DE"/>
        </w:rPr>
      </w:pPr>
      <w:r>
        <w:rPr>
          <w:rFonts w:ascii="Calibri" w:hAnsi="Calibri"/>
          <w:b/>
          <w:sz w:val="24"/>
          <w:lang w:eastAsia="de-DE"/>
        </w:rPr>
      </w:r>
    </w:p>
    <w:p>
      <w:pPr>
        <w:pStyle w:val="Normal"/>
        <w:suppressAutoHyphens w:val="false"/>
        <w:spacing w:before="0" w:after="240"/>
        <w:ind w:right="113"/>
        <w:jc w:val="both"/>
        <w:rPr>
          <w:rFonts w:ascii="Calibri" w:hAnsi="Calibri"/>
          <w:b/>
          <w:sz w:val="24"/>
          <w:lang w:eastAsia="de-DE"/>
        </w:rPr>
      </w:pPr>
      <w:r>
        <w:rPr>
          <w:rFonts w:ascii="Calibri" w:hAnsi="Calibri"/>
          <w:b/>
          <w:sz w:val="24"/>
          <w:lang w:eastAsia="de-DE"/>
        </w:rPr>
      </w:r>
    </w:p>
    <w:p>
      <w:pPr>
        <w:pStyle w:val="Normal"/>
        <w:suppressAutoHyphens w:val="false"/>
        <w:spacing w:before="0" w:after="240"/>
        <w:ind w:right="113"/>
        <w:jc w:val="both"/>
        <w:rPr>
          <w:rFonts w:ascii="Calibri" w:hAnsi="Calibri"/>
          <w:b/>
          <w:sz w:val="24"/>
          <w:lang w:eastAsia="de-DE"/>
        </w:rPr>
      </w:pPr>
      <w:r>
        <w:rPr>
          <w:rFonts w:ascii="Calibri" w:hAnsi="Calibri"/>
          <w:b/>
          <w:sz w:val="24"/>
          <w:lang w:eastAsia="de-DE"/>
        </w:rPr>
      </w:r>
    </w:p>
    <w:p>
      <w:pPr>
        <w:pStyle w:val="Normal"/>
        <w:suppressAutoHyphens w:val="false"/>
        <w:spacing w:before="0" w:after="240"/>
        <w:ind w:right="113"/>
        <w:jc w:val="both"/>
        <w:rPr>
          <w:rFonts w:ascii="Calibri" w:hAnsi="Calibri"/>
          <w:b/>
          <w:sz w:val="24"/>
          <w:lang w:eastAsia="de-DE"/>
        </w:rPr>
      </w:pPr>
      <w:r>
        <w:rPr>
          <w:rFonts w:ascii="Calibri" w:hAnsi="Calibri"/>
          <w:b/>
          <w:sz w:val="24"/>
          <w:lang w:eastAsia="de-DE"/>
        </w:rPr>
      </w:r>
    </w:p>
    <w:p>
      <w:pPr>
        <w:pStyle w:val="Normal"/>
        <w:keepNext w:val="true"/>
        <w:numPr>
          <w:ilvl w:val="0"/>
          <w:numId w:val="53"/>
        </w:numPr>
        <w:tabs>
          <w:tab w:val="clear" w:pos="709"/>
          <w:tab w:val="left" w:pos="2694" w:leader="none"/>
          <w:tab w:val="left" w:pos="8505" w:leader="none"/>
        </w:tabs>
        <w:suppressAutoHyphens w:val="false"/>
        <w:spacing w:before="360" w:after="100"/>
        <w:ind w:hanging="432" w:left="858" w:right="-29"/>
        <w:jc w:val="both"/>
        <w:outlineLvl w:val="0"/>
        <w:rPr>
          <w:rFonts w:ascii="Calibri" w:hAnsi="Calibri"/>
          <w:b/>
          <w:sz w:val="22"/>
          <w:lang w:eastAsia="de-DE"/>
        </w:rPr>
      </w:pPr>
      <w:r>
        <w:rPr>
          <w:rFonts w:ascii="Calibri" w:hAnsi="Calibri"/>
          <w:b/>
          <w:sz w:val="22"/>
          <w:lang w:eastAsia="de-DE"/>
        </w:rPr>
        <w:t>Privat 7</w:t>
      </w:r>
    </w:p>
    <w:tbl>
      <w:tblPr>
        <w:tblW w:w="14454"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206"/>
        <w:gridCol w:w="14247"/>
      </w:tblGrid>
      <w:tr>
        <w:trPr>
          <w:tblHeader w:val="true"/>
        </w:trPr>
        <w:tc>
          <w:tcPr>
            <w:tcW w:w="14453" w:type="dxa"/>
            <w:gridSpan w:val="2"/>
            <w:tcBorders>
              <w:top w:val="single" w:sz="4" w:space="0" w:color="000000"/>
              <w:left w:val="single" w:sz="4" w:space="0" w:color="000000"/>
              <w:bottom w:val="single" w:sz="4" w:space="0" w:color="000000"/>
              <w:right w:val="single" w:sz="4" w:space="0" w:color="000000"/>
            </w:tcBorders>
            <w:shd w:color="auto" w:fill="FFFFFF" w:val="pct12"/>
          </w:tcPr>
          <w:p>
            <w:pPr>
              <w:pStyle w:val="Normal"/>
              <w:tabs>
                <w:tab w:val="clear" w:pos="709"/>
                <w:tab w:val="left" w:pos="1875" w:leader="none"/>
              </w:tabs>
              <w:suppressAutoHyphens w:val="false"/>
              <w:ind w:right="113"/>
              <w:jc w:val="both"/>
              <w:rPr>
                <w:rFonts w:ascii="Calibri" w:hAnsi="Calibri"/>
                <w:b/>
                <w:sz w:val="22"/>
                <w:lang w:eastAsia="de-DE"/>
              </w:rPr>
            </w:pPr>
            <w:r>
              <w:rPr>
                <w:rFonts w:ascii="Calibri" w:hAnsi="Calibri"/>
                <w:b/>
                <w:sz w:val="22"/>
                <w:lang w:eastAsia="de-DE"/>
              </w:rPr>
              <w:t>Anregung</w:t>
            </w:r>
          </w:p>
        </w:tc>
      </w:tr>
      <w:tr>
        <w:trPr/>
        <w:tc>
          <w:tcPr>
            <w:tcW w:w="206" w:type="dxa"/>
            <w:tcBorders>
              <w:top w:val="single" w:sz="4" w:space="0" w:color="000000"/>
              <w:left w:val="single" w:sz="4" w:space="0" w:color="000000"/>
              <w:bottom w:val="single" w:sz="4" w:space="0" w:color="000000"/>
            </w:tcBorders>
          </w:tcPr>
          <w:p>
            <w:pPr>
              <w:pStyle w:val="Normal"/>
              <w:widowControl w:val="false"/>
              <w:tabs>
                <w:tab w:val="clear" w:pos="709"/>
                <w:tab w:val="left" w:pos="708" w:leader="none"/>
                <w:tab w:val="center" w:pos="4536" w:leader="none"/>
                <w:tab w:val="right" w:pos="9072" w:leader="none"/>
              </w:tabs>
              <w:suppressAutoHyphens w:val="false"/>
              <w:ind w:right="113"/>
              <w:jc w:val="right"/>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r>
          </w:p>
        </w:tc>
        <w:tc>
          <w:tcPr>
            <w:tcW w:w="14247" w:type="dxa"/>
            <w:tcBorders>
              <w:top w:val="single" w:sz="4" w:space="0" w:color="000000"/>
              <w:bottom w:val="single" w:sz="4" w:space="0" w:color="000000"/>
              <w:right w:val="single" w:sz="4" w:space="0" w:color="000000"/>
            </w:tcBorders>
          </w:tcPr>
          <w:p>
            <w:pPr>
              <w:pStyle w:val="Normal"/>
              <w:suppressAutoHyphens w:val="false"/>
              <w:overflowPunct w:val="true"/>
              <w:spacing w:lineRule="exact" w:line="291" w:before="139" w:after="0"/>
              <w:ind w:right="113"/>
              <w:jc w:val="both"/>
              <w:textAlignment w:val="baseline"/>
              <w:rPr>
                <w:rFonts w:ascii="Tahoma" w:hAnsi="Tahoma" w:cs="Tahoma"/>
                <w:sz w:val="19"/>
                <w:szCs w:val="19"/>
                <w:lang w:eastAsia="de-DE"/>
              </w:rPr>
            </w:pPr>
            <w:r>
              <w:rPr>
                <w:rFonts w:cs="Tahoma" w:ascii="Tahoma" w:hAnsi="Tahoma"/>
                <w:sz w:val="19"/>
                <w:szCs w:val="19"/>
                <w:lang w:eastAsia="de-DE"/>
              </w:rPr>
              <w:t>Die verschiedenen Dokumente, die als Vorentwürfe der frühzeitigen Öffentlichkeitsbeteiligung zur Verfügung gestellt worden sind, erlauben derzeit keine irgendwie geartete fundierte Stellungnahme.</w:t>
            </w:r>
          </w:p>
          <w:p>
            <w:pPr>
              <w:pStyle w:val="Normal"/>
              <w:suppressAutoHyphens w:val="false"/>
              <w:overflowPunct w:val="true"/>
              <w:spacing w:lineRule="exact" w:line="291" w:before="139" w:after="0"/>
              <w:ind w:right="113"/>
              <w:jc w:val="both"/>
              <w:textAlignment w:val="baseline"/>
              <w:rPr>
                <w:rFonts w:ascii="Tahoma" w:hAnsi="Tahoma" w:cs="Tahoma"/>
                <w:sz w:val="19"/>
                <w:szCs w:val="19"/>
                <w:lang w:eastAsia="de-DE"/>
              </w:rPr>
            </w:pPr>
            <w:r>
              <w:rPr>
                <w:rFonts w:cs="Tahoma" w:ascii="Tahoma" w:hAnsi="Tahoma"/>
                <w:sz w:val="19"/>
                <w:szCs w:val="19"/>
                <w:lang w:eastAsia="de-DE"/>
              </w:rPr>
              <w:t>So hinaus finden derzeit in den Gremien der Ortsgemeinde Lieser weitere Beratungen über wichtige Details des Bebauungsplans statt, die ersichtlich keinen Eingang in die ausgelegten Vorentwürfe finden konnten. Unabhängig davon ist bisher an keiner Stelle schlüssig dargetan, wie die mit der Bebauung eintretende Flächenversiegelung durch andere Maßnahmen so weit kompensiert werden kann, dass eine zusätzliche Gefährdung der bestehenden Ortsbebauung durch Starkregenereignisse ausgeschlossen werden kann.</w:t>
            </w:r>
          </w:p>
          <w:p>
            <w:pPr>
              <w:pStyle w:val="Normal"/>
              <w:suppressAutoHyphens w:val="false"/>
              <w:spacing w:before="0" w:after="240"/>
              <w:ind w:right="113"/>
              <w:jc w:val="both"/>
              <w:rPr>
                <w:rFonts w:ascii="Calibri" w:hAnsi="Calibri" w:eastAsia="Arial Narrow" w:cs="Calibri"/>
                <w:bCs/>
                <w:sz w:val="22"/>
                <w:szCs w:val="22"/>
                <w:shd w:fill="FFFFFF" w:val="clear"/>
                <w:lang w:eastAsia="de-DE"/>
              </w:rPr>
            </w:pPr>
            <w:r>
              <w:rPr>
                <w:rFonts w:eastAsia="Arial Narrow" w:cs="Calibri" w:ascii="Calibri" w:hAnsi="Calibri"/>
                <w:bCs/>
                <w:sz w:val="22"/>
                <w:szCs w:val="22"/>
                <w:shd w:fill="FFFFFF" w:val="clear"/>
                <w:lang w:eastAsia="de-DE"/>
              </w:rPr>
            </w:r>
          </w:p>
        </w:tc>
      </w:tr>
    </w:tbl>
    <w:p>
      <w:pPr>
        <w:pStyle w:val="Normal"/>
        <w:suppressAutoHyphens w:val="false"/>
        <w:spacing w:before="0" w:after="240"/>
        <w:ind w:right="113"/>
        <w:jc w:val="both"/>
        <w:rPr>
          <w:rFonts w:ascii="Calibri" w:hAnsi="Calibri"/>
          <w:b/>
          <w:sz w:val="24"/>
          <w:lang w:eastAsia="de-DE"/>
        </w:rPr>
      </w:pPr>
      <w:r>
        <w:rPr>
          <w:rFonts w:ascii="Calibri" w:hAnsi="Calibri"/>
          <w:b/>
          <w:sz w:val="24"/>
          <w:lang w:eastAsia="de-DE"/>
        </w:rPr>
      </w:r>
    </w:p>
    <w:p>
      <w:pPr>
        <w:pStyle w:val="Normal"/>
        <w:tabs>
          <w:tab w:val="clear" w:pos="709"/>
          <w:tab w:val="left" w:pos="2694" w:leader="none"/>
        </w:tabs>
        <w:suppressAutoHyphens w:val="false"/>
        <w:ind w:right="113"/>
        <w:jc w:val="right"/>
        <w:rPr>
          <w:rFonts w:ascii="Calibri" w:hAnsi="Calibri"/>
          <w:b/>
          <w:sz w:val="22"/>
          <w:szCs w:val="24"/>
          <w:lang w:eastAsia="de-DE"/>
        </w:rPr>
      </w:pPr>
      <w:r>
        <w:rPr>
          <w:rFonts w:ascii="Calibri" w:hAnsi="Calibri"/>
          <w:b/>
          <w:sz w:val="22"/>
          <w:szCs w:val="24"/>
          <w:lang w:eastAsia="de-DE"/>
        </w:rPr>
      </w:r>
    </w:p>
    <w:p>
      <w:pPr>
        <w:pStyle w:val="Normal"/>
        <w:rPr>
          <w:rFonts w:ascii="Arial" w:hAnsi="Arial" w:cs="Arial"/>
          <w:sz w:val="24"/>
          <w:szCs w:val="24"/>
        </w:rPr>
      </w:pPr>
      <w:r>
        <w:rPr>
          <w:rFonts w:cs="Arial" w:ascii="Arial" w:hAnsi="Arial"/>
          <w:sz w:val="24"/>
          <w:szCs w:val="24"/>
        </w:rPr>
      </w:r>
    </w:p>
    <w:p>
      <w:pPr>
        <w:pStyle w:val="Normal"/>
        <w:rPr>
          <w:rFonts w:ascii="Arial" w:hAnsi="Arial" w:cs="Arial"/>
          <w:sz w:val="24"/>
          <w:szCs w:val="24"/>
        </w:rPr>
      </w:pPr>
      <w:r>
        <w:rPr>
          <w:rFonts w:cs="Arial" w:ascii="Arial" w:hAnsi="Arial"/>
          <w:sz w:val="24"/>
          <w:szCs w:val="24"/>
        </w:rPr>
      </w:r>
    </w:p>
    <w:p>
      <w:pPr>
        <w:pStyle w:val="Normal"/>
        <w:rPr>
          <w:rFonts w:ascii="Arial" w:hAnsi="Arial" w:cs="Arial"/>
          <w:sz w:val="24"/>
          <w:szCs w:val="24"/>
        </w:rPr>
      </w:pPr>
      <w:r>
        <w:rPr>
          <w:rFonts w:cs="Arial" w:ascii="Arial" w:hAnsi="Arial"/>
          <w:sz w:val="24"/>
          <w:szCs w:val="24"/>
        </w:rPr>
      </w:r>
    </w:p>
    <w:p>
      <w:pPr>
        <w:sectPr>
          <w:headerReference w:type="even" r:id="rId14"/>
          <w:headerReference w:type="default" r:id="rId15"/>
          <w:headerReference w:type="first" r:id="rId16"/>
          <w:type w:val="nextPage"/>
          <w:pgSz w:orient="landscape" w:w="16838" w:h="11906"/>
          <w:pgMar w:left="1134" w:right="1429" w:gutter="0" w:header="851" w:top="1418" w:footer="0" w:bottom="1418"/>
          <w:pgNumType w:fmt="decimal"/>
          <w:formProt w:val="false"/>
          <w:textDirection w:val="lrTb"/>
          <w:docGrid w:type="default" w:linePitch="272" w:charSpace="49152"/>
        </w:sectPr>
        <w:pStyle w:val="Normal"/>
        <w:rPr>
          <w:rFonts w:ascii="Arial" w:hAnsi="Arial" w:cs="Arial"/>
          <w:sz w:val="24"/>
          <w:szCs w:val="24"/>
        </w:rPr>
      </w:pPr>
      <w:r>
        <w:rPr>
          <w:rFonts w:cs="Arial" w:ascii="Arial" w:hAnsi="Arial"/>
          <w:sz w:val="24"/>
          <w:szCs w:val="24"/>
        </w:rPr>
      </w:r>
    </w:p>
    <w:p>
      <w:pPr>
        <w:pStyle w:val="Normal"/>
        <w:rPr>
          <w:rFonts w:ascii="Arial" w:hAnsi="Arial" w:cs="Arial"/>
          <w:b/>
          <w:sz w:val="24"/>
          <w:szCs w:val="24"/>
          <w:u w:val="single"/>
        </w:rPr>
      </w:pPr>
      <w:r>
        <w:rPr>
          <w:rFonts w:cs="Arial" w:ascii="Arial" w:hAnsi="Arial"/>
          <w:b/>
          <w:sz w:val="24"/>
          <w:szCs w:val="24"/>
          <w:u w:val="single"/>
        </w:rPr>
        <w:t>Anlage 3 zu TOP 2:</w:t>
      </w:r>
    </w:p>
    <w:p>
      <w:pPr>
        <w:pStyle w:val="Normal"/>
        <w:rPr>
          <w:rFonts w:ascii="Arial" w:hAnsi="Arial" w:cs="Arial"/>
          <w:b/>
          <w:sz w:val="24"/>
          <w:szCs w:val="24"/>
          <w:u w:val="single"/>
        </w:rPr>
      </w:pPr>
      <w:r>
        <w:rPr>
          <w:rFonts w:cs="Arial" w:ascii="Arial" w:hAnsi="Arial"/>
          <w:b/>
          <w:sz w:val="24"/>
          <w:szCs w:val="24"/>
          <w:u w:val="single"/>
        </w:rPr>
      </w:r>
    </w:p>
    <w:p>
      <w:pPr>
        <w:pStyle w:val="Normal"/>
        <w:rPr>
          <w:rFonts w:ascii="Arial" w:hAnsi="Arial" w:cs="Arial"/>
          <w:b/>
          <w:sz w:val="24"/>
          <w:szCs w:val="24"/>
          <w:u w:val="single"/>
        </w:rPr>
      </w:pPr>
      <w:r>
        <w:rPr/>
        <w:drawing>
          <wp:inline distT="0" distB="0" distL="0" distR="0">
            <wp:extent cx="5759450" cy="8144510"/>
            <wp:effectExtent l="0" t="0" r="0" b="0"/>
            <wp:docPr id="8" name="Grafi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2" descr=""/>
                    <pic:cNvPicPr>
                      <a:picLocks noChangeAspect="1" noChangeArrowheads="1"/>
                    </pic:cNvPicPr>
                  </pic:nvPicPr>
                  <pic:blipFill>
                    <a:blip r:embed="rId17"/>
                    <a:stretch>
                      <a:fillRect/>
                    </a:stretch>
                  </pic:blipFill>
                  <pic:spPr bwMode="auto">
                    <a:xfrm>
                      <a:off x="0" y="0"/>
                      <a:ext cx="5759450" cy="8144510"/>
                    </a:xfrm>
                    <a:prstGeom prst="rect">
                      <a:avLst/>
                    </a:prstGeom>
                  </pic:spPr>
                </pic:pic>
              </a:graphicData>
            </a:graphic>
          </wp:inline>
        </w:drawing>
      </w:r>
    </w:p>
    <w:p>
      <w:pPr>
        <w:pStyle w:val="Normal"/>
        <w:rPr>
          <w:rFonts w:ascii="Arial" w:hAnsi="Arial" w:cs="Arial"/>
          <w:b/>
          <w:sz w:val="24"/>
          <w:szCs w:val="24"/>
          <w:u w:val="single"/>
        </w:rPr>
      </w:pPr>
      <w:r>
        <w:rPr>
          <w:rFonts w:cs="Arial" w:ascii="Arial" w:hAnsi="Arial"/>
          <w:b/>
          <w:sz w:val="24"/>
          <w:szCs w:val="24"/>
          <w:u w:val="single"/>
        </w:rPr>
      </w:r>
    </w:p>
    <w:p>
      <w:pPr>
        <w:pStyle w:val="Normal"/>
        <w:rPr>
          <w:rFonts w:ascii="Arial" w:hAnsi="Arial" w:cs="Arial"/>
          <w:b/>
          <w:sz w:val="24"/>
          <w:szCs w:val="24"/>
          <w:u w:val="single"/>
        </w:rPr>
      </w:pPr>
      <w:r>
        <w:rPr>
          <w:rFonts w:cs="Arial" w:ascii="Arial" w:hAnsi="Arial"/>
          <w:b/>
          <w:sz w:val="24"/>
          <w:szCs w:val="24"/>
          <w:u w:val="single"/>
        </w:rPr>
      </w:r>
    </w:p>
    <w:p>
      <w:pPr>
        <w:pStyle w:val="Normal"/>
        <w:rPr>
          <w:rFonts w:ascii="Arial" w:hAnsi="Arial" w:cs="Arial"/>
          <w:b/>
          <w:sz w:val="24"/>
          <w:szCs w:val="24"/>
          <w:u w:val="single"/>
        </w:rPr>
      </w:pPr>
      <w:r>
        <w:rPr>
          <w:rFonts w:cs="Arial" w:ascii="Arial" w:hAnsi="Arial"/>
          <w:b/>
          <w:sz w:val="24"/>
          <w:szCs w:val="24"/>
          <w:u w:val="single"/>
        </w:rPr>
        <w:t>Anlage 4 zu TOP 2:</w:t>
      </w:r>
    </w:p>
    <w:p>
      <w:pPr>
        <w:pStyle w:val="Normal"/>
        <w:rPr>
          <w:rFonts w:ascii="Arial" w:hAnsi="Arial" w:cs="Arial"/>
          <w:b/>
          <w:sz w:val="24"/>
          <w:szCs w:val="24"/>
          <w:u w:val="single"/>
        </w:rPr>
      </w:pPr>
      <w:r>
        <w:rPr>
          <w:rFonts w:cs="Arial" w:ascii="Arial" w:hAnsi="Arial"/>
          <w:b/>
          <w:sz w:val="24"/>
          <w:szCs w:val="24"/>
          <w:u w:val="single"/>
        </w:rPr>
      </w:r>
    </w:p>
    <w:p>
      <w:pPr>
        <w:pStyle w:val="Normal"/>
        <w:rPr>
          <w:rFonts w:ascii="Arial" w:hAnsi="Arial" w:cs="Arial"/>
          <w:b/>
          <w:sz w:val="24"/>
          <w:szCs w:val="24"/>
          <w:u w:val="single"/>
        </w:rPr>
      </w:pPr>
      <w:r>
        <w:rPr/>
        <w:drawing>
          <wp:inline distT="0" distB="0" distL="0" distR="0">
            <wp:extent cx="5759450" cy="7633335"/>
            <wp:effectExtent l="0" t="0" r="0" b="0"/>
            <wp:docPr id="9" name="Grafi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1" descr=""/>
                    <pic:cNvPicPr>
                      <a:picLocks noChangeAspect="1" noChangeArrowheads="1"/>
                    </pic:cNvPicPr>
                  </pic:nvPicPr>
                  <pic:blipFill>
                    <a:blip r:embed="rId18"/>
                    <a:stretch>
                      <a:fillRect/>
                    </a:stretch>
                  </pic:blipFill>
                  <pic:spPr bwMode="auto">
                    <a:xfrm>
                      <a:off x="0" y="0"/>
                      <a:ext cx="5759450" cy="7633335"/>
                    </a:xfrm>
                    <a:prstGeom prst="rect">
                      <a:avLst/>
                    </a:prstGeom>
                  </pic:spPr>
                </pic:pic>
              </a:graphicData>
            </a:graphic>
          </wp:inline>
        </w:drawing>
      </w:r>
    </w:p>
    <w:sectPr>
      <w:headerReference w:type="even" r:id="rId19"/>
      <w:headerReference w:type="default" r:id="rId20"/>
      <w:headerReference w:type="first" r:id="rId21"/>
      <w:type w:val="nextPage"/>
      <w:pgSz w:w="11906" w:h="16838"/>
      <w:pgMar w:left="1418" w:right="1418" w:gutter="0" w:header="851" w:top="1429" w:footer="0" w:bottom="1134"/>
      <w:pgNumType w:fmt="decimal"/>
      <w:formProt w:val="false"/>
      <w:textDirection w:val="lrTb"/>
      <w:docGrid w:type="default" w:linePitch="272" w:charSpace="4915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Symbol">
    <w:charset w:val="00"/>
    <w:family w:val="roman"/>
    <w:pitch w:val="variable"/>
  </w:font>
  <w:font w:name="Courier New">
    <w:charset w:val="00"/>
    <w:family w:val="roman"/>
    <w:pitch w:val="variable"/>
  </w:font>
  <w:font w:name="Wingdings">
    <w:charset w:val="00"/>
    <w:family w:val="roman"/>
    <w:pitch w:val="variable"/>
  </w:font>
  <w:font w:name="Calibri">
    <w:charset w:val="00"/>
    <w:family w:val="roman"/>
    <w:pitch w:val="variable"/>
  </w:font>
  <w:font w:name="Tahoma">
    <w:charset w:val="00"/>
    <w:family w:val="roman"/>
    <w:pitch w:val="variable"/>
  </w:font>
  <w:font w:name="Bookman Old Style">
    <w:charset w:val="00"/>
    <w:family w:val="roman"/>
    <w:pitch w:val="variable"/>
  </w:font>
  <w:font w:name="Avalon">
    <w:charset w:val="00"/>
    <w:family w:val="roman"/>
    <w:pitch w:val="variable"/>
  </w:font>
  <w:font w:name="Arial Unicode MS">
    <w:charset w:val="00"/>
    <w:family w:val="roman"/>
    <w:pitch w:val="variable"/>
  </w:font>
  <w:font w:name="Microsoft Sans Serif">
    <w:charset w:val="00"/>
    <w:family w:val="roman"/>
    <w:pitch w:val="variable"/>
  </w:font>
  <w:font w:name="Comic Sans MS">
    <w:charset w:val="00"/>
    <w:family w:val="roman"/>
    <w:pitch w:val="variable"/>
  </w:font>
  <w:font w:name="Univers">
    <w:charset w:val="00"/>
    <w:family w:val="roman"/>
    <w:pitch w:val="variable"/>
  </w:font>
  <w:font w:name="Tms Rmn">
    <w:altName w:val="Times New Roman"/>
    <w:charset w:val="00"/>
    <w:family w:val="roman"/>
    <w:pitch w:val="variable"/>
  </w:font>
  <w:font w:name="Cambria">
    <w:charset w:val="00"/>
    <w:family w:val="roman"/>
    <w:pitch w:val="variable"/>
  </w:font>
  <w:font w:name="Verdana">
    <w:charset w:val="00"/>
    <w:family w:val="roman"/>
    <w:pitch w:val="variable"/>
  </w:font>
  <w:font w:name="Courier New">
    <w:charset w:val="01"/>
    <w:family w:val="modern"/>
    <w:pitch w:val="fixed"/>
  </w:font>
  <w:font w:name="Wingdings">
    <w:charset w:val="02"/>
    <w:family w:val="auto"/>
    <w:pitch w:val="variable"/>
  </w:font>
  <w:font w:name="Webdings">
    <w:charset w:val="02"/>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right="140"/>
      <w:rPr>
        <w:rFonts w:ascii="Arial" w:hAnsi="Arial" w:cs="Arial"/>
        <w:sz w:val="16"/>
      </w:rPr>
    </w:pPr>
    <w:r>
      <w:rPr>
        <w:rFonts w:cs="Arial" w:ascii="Arial" w:hAnsi="Arial"/>
        <w:sz w:val="16"/>
      </w:rPr>
    </w:r>
  </w:p>
  <w:p>
    <w:pPr>
      <w:pStyle w:val="Header"/>
      <w:ind w:right="140"/>
      <w:rPr/>
    </w:pPr>
    <w:r>
      <w:rPr>
        <w:rFonts w:cs="Arial" w:ascii="Arial" w:hAnsi="Arial"/>
        <w:sz w:val="16"/>
      </w:rPr>
      <w:t xml:space="preserve">Niederschrift über die Sitzung des Gemeinderates Piesport am 19.12.2019 </w:t>
      <w:tab/>
      <w:t xml:space="preserve">Seite - </w:t>
    </w:r>
    <w:r>
      <w:rPr/>
      <w:fldChar w:fldCharType="begin"/>
    </w:r>
    <w:r>
      <w:rPr/>
      <w:instrText xml:space="preserve"> PAGE </w:instrText>
    </w:r>
    <w:r>
      <w:rPr/>
      <w:fldChar w:fldCharType="separate"/>
    </w:r>
    <w:r>
      <w:rPr/>
      <w:t>0</w:t>
    </w:r>
    <w:r>
      <w:rPr/>
      <w:fldChar w:fldCharType="end"/>
    </w:r>
    <w:r>
      <w:rPr>
        <w:rFonts w:cs="Arial" w:ascii="Arial" w:hAnsi="Arial"/>
        <w:sz w:val="16"/>
      </w:rPr>
      <w:t xml:space="preserve"> -</w:t>
    </w:r>
  </w:p>
  <w:p>
    <w:pPr>
      <w:pStyle w:val="Normal"/>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p>
    <w:pPr>
      <w:pStyle w:val="Normal"/>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p>
    <w:pPr>
      <w:pStyle w:val="Normal"/>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p>
    <w:pPr>
      <w:pStyle w:val="Normal"/>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p>
    <w:pPr>
      <w:pStyle w:val="Normal"/>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p>
    <w:pPr>
      <w:pStyle w:val="Normal"/>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p>
    <w:pPr>
      <w:pStyle w:val="Normal"/>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432" w:hanging="432"/>
      </w:pPr>
      <w:rPr/>
    </w:lvl>
    <w:lvl w:ilvl="1">
      <w:start w:val="1"/>
      <w:numFmt w:val="none"/>
      <w:suff w:val="nothing"/>
      <w:lvlText w:val=""/>
      <w:lvlJc w:val="left"/>
      <w:pPr>
        <w:tabs>
          <w:tab w:val="num" w:pos="0"/>
        </w:tabs>
        <w:ind w:left="576" w:hanging="576"/>
      </w:pPr>
      <w:rPr/>
    </w:lvl>
    <w:lvl w:ilvl="2">
      <w:start w:val="1"/>
      <w:numFmt w:val="none"/>
      <w:suff w:val="nothing"/>
      <w:lvlText w:val=""/>
      <w:lvlJc w:val="left"/>
      <w:pPr>
        <w:tabs>
          <w:tab w:val="num" w:pos="0"/>
        </w:tabs>
        <w:ind w:left="720" w:hanging="720"/>
      </w:pPr>
      <w:rPr/>
    </w:lvl>
    <w:lvl w:ilvl="3">
      <w:start w:val="1"/>
      <w:numFmt w:val="none"/>
      <w:suff w:val="nothing"/>
      <w:lvlText w:val=""/>
      <w:lvlJc w:val="left"/>
      <w:pPr>
        <w:tabs>
          <w:tab w:val="num" w:pos="0"/>
        </w:tabs>
        <w:ind w:left="864" w:hanging="864"/>
      </w:pPr>
      <w:rPr/>
    </w:lvl>
    <w:lvl w:ilvl="4">
      <w:start w:val="1"/>
      <w:numFmt w:val="none"/>
      <w:suff w:val="nothing"/>
      <w:lvlText w:val=""/>
      <w:lvlJc w:val="left"/>
      <w:pPr>
        <w:tabs>
          <w:tab w:val="num" w:pos="0"/>
        </w:tabs>
        <w:ind w:left="1008" w:hanging="1008"/>
      </w:pPr>
      <w:rPr/>
    </w:lvl>
    <w:lvl w:ilvl="5">
      <w:start w:val="1"/>
      <w:numFmt w:val="none"/>
      <w:suff w:val="nothing"/>
      <w:lvlText w:val=""/>
      <w:lvlJc w:val="left"/>
      <w:pPr>
        <w:tabs>
          <w:tab w:val="num" w:pos="0"/>
        </w:tabs>
        <w:ind w:left="1152" w:hanging="1152"/>
      </w:pPr>
      <w:rPr/>
    </w:lvl>
    <w:lvl w:ilvl="6">
      <w:start w:val="1"/>
      <w:numFmt w:val="none"/>
      <w:suff w:val="nothing"/>
      <w:lvlText w:val=""/>
      <w:lvlJc w:val="left"/>
      <w:pPr>
        <w:tabs>
          <w:tab w:val="num" w:pos="0"/>
        </w:tabs>
        <w:ind w:left="1296" w:hanging="1296"/>
      </w:pPr>
      <w:rPr/>
    </w:lvl>
    <w:lvl w:ilvl="7">
      <w:start w:val="1"/>
      <w:numFmt w:val="none"/>
      <w:suff w:val="nothing"/>
      <w:lvlText w:val=""/>
      <w:lvlJc w:val="left"/>
      <w:pPr>
        <w:tabs>
          <w:tab w:val="num" w:pos="0"/>
        </w:tabs>
        <w:ind w:left="1440" w:hanging="1440"/>
      </w:pPr>
      <w:rPr/>
    </w:lvl>
    <w:lvl w:ilvl="8">
      <w:start w:val="1"/>
      <w:numFmt w:val="none"/>
      <w:suff w:val="nothing"/>
      <w:lvlText w:val=""/>
      <w:lvlJc w:val="left"/>
      <w:pPr>
        <w:tabs>
          <w:tab w:val="num" w:pos="0"/>
        </w:tabs>
        <w:ind w:left="1584" w:hanging="1584"/>
      </w:pPr>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
    <w:lvl w:ilvl="0">
      <w:start w:val="1"/>
      <w:numFmt w:val="decimal"/>
      <w:lvlText w:val="%1"/>
      <w:lvlJc w:val="left"/>
      <w:pPr>
        <w:tabs>
          <w:tab w:val="num" w:pos="0"/>
        </w:tabs>
        <w:ind w:left="858" w:hanging="432"/>
      </w:pPr>
      <w:rPr/>
    </w:lvl>
    <w:lvl w:ilvl="1">
      <w:start w:val="1"/>
      <w:numFmt w:val="decimal"/>
      <w:lvlText w:val="%1.%2"/>
      <w:lvlJc w:val="left"/>
      <w:pPr>
        <w:tabs>
          <w:tab w:val="num" w:pos="0"/>
        </w:tabs>
        <w:ind w:left="576" w:hanging="576"/>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5">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decimal"/>
      <w:lvlText w:val="%1"/>
      <w:lvlJc w:val="left"/>
      <w:pPr>
        <w:tabs>
          <w:tab w:val="num" w:pos="0"/>
        </w:tabs>
        <w:ind w:left="858" w:hanging="432"/>
      </w:pPr>
      <w:rPr/>
    </w:lvl>
    <w:lvl w:ilvl="1">
      <w:start w:val="1"/>
      <w:numFmt w:val="decimal"/>
      <w:lvlText w:val="%1.%2"/>
      <w:lvlJc w:val="left"/>
      <w:pPr>
        <w:tabs>
          <w:tab w:val="num" w:pos="0"/>
        </w:tabs>
        <w:ind w:left="576" w:hanging="576"/>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8">
    <w:lvl w:ilvl="0">
      <w:start w:val="1"/>
      <w:numFmt w:val="decimal"/>
      <w:lvlText w:val="%1"/>
      <w:lvlJc w:val="left"/>
      <w:pPr>
        <w:tabs>
          <w:tab w:val="num" w:pos="0"/>
        </w:tabs>
        <w:ind w:left="858" w:hanging="432"/>
      </w:pPr>
      <w:rPr/>
    </w:lvl>
    <w:lvl w:ilvl="1">
      <w:start w:val="1"/>
      <w:numFmt w:val="decimal"/>
      <w:lvlText w:val="%1.%2"/>
      <w:lvlJc w:val="left"/>
      <w:pPr>
        <w:tabs>
          <w:tab w:val="num" w:pos="0"/>
        </w:tabs>
        <w:ind w:left="576" w:hanging="576"/>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decimal"/>
      <w:lvlText w:val="%1"/>
      <w:lvlJc w:val="left"/>
      <w:pPr>
        <w:tabs>
          <w:tab w:val="num" w:pos="0"/>
        </w:tabs>
        <w:ind w:left="858" w:hanging="432"/>
      </w:pPr>
      <w:rPr/>
    </w:lvl>
    <w:lvl w:ilvl="1">
      <w:start w:val="1"/>
      <w:numFmt w:val="decimal"/>
      <w:lvlText w:val="%1.%2"/>
      <w:lvlJc w:val="left"/>
      <w:pPr>
        <w:tabs>
          <w:tab w:val="num" w:pos="0"/>
        </w:tabs>
        <w:ind w:left="576" w:hanging="576"/>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1">
    <w:lvl w:ilvl="0">
      <w:start w:val="1"/>
      <w:numFmt w:val="decimal"/>
      <w:lvlText w:val="%1"/>
      <w:lvlJc w:val="left"/>
      <w:pPr>
        <w:tabs>
          <w:tab w:val="num" w:pos="0"/>
        </w:tabs>
        <w:ind w:left="858" w:hanging="432"/>
      </w:pPr>
      <w:rPr/>
    </w:lvl>
    <w:lvl w:ilvl="1">
      <w:start w:val="1"/>
      <w:numFmt w:val="decimal"/>
      <w:lvlText w:val="%1.%2"/>
      <w:lvlJc w:val="left"/>
      <w:pPr>
        <w:tabs>
          <w:tab w:val="num" w:pos="0"/>
        </w:tabs>
        <w:ind w:left="576" w:hanging="576"/>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2">
    <w:lvl w:ilvl="0">
      <w:start w:val="1"/>
      <w:numFmt w:val="decimal"/>
      <w:lvlText w:val="%1"/>
      <w:lvlJc w:val="left"/>
      <w:pPr>
        <w:tabs>
          <w:tab w:val="num" w:pos="0"/>
        </w:tabs>
        <w:ind w:left="858" w:hanging="432"/>
      </w:pPr>
      <w:rPr/>
    </w:lvl>
    <w:lvl w:ilvl="1">
      <w:start w:val="1"/>
      <w:numFmt w:val="decimal"/>
      <w:lvlText w:val="%1.%2"/>
      <w:lvlJc w:val="left"/>
      <w:pPr>
        <w:tabs>
          <w:tab w:val="num" w:pos="0"/>
        </w:tabs>
        <w:ind w:left="576" w:hanging="576"/>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3">
    <w:lvl w:ilvl="0">
      <w:start w:val="1"/>
      <w:numFmt w:val="decimal"/>
      <w:lvlText w:val="%1"/>
      <w:lvlJc w:val="left"/>
      <w:pPr>
        <w:tabs>
          <w:tab w:val="num" w:pos="0"/>
        </w:tabs>
        <w:ind w:left="858" w:hanging="432"/>
      </w:pPr>
      <w:rPr/>
    </w:lvl>
    <w:lvl w:ilvl="1">
      <w:start w:val="1"/>
      <w:numFmt w:val="decimal"/>
      <w:lvlText w:val="%1.%2"/>
      <w:lvlJc w:val="left"/>
      <w:pPr>
        <w:tabs>
          <w:tab w:val="num" w:pos="0"/>
        </w:tabs>
        <w:ind w:left="576" w:hanging="576"/>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decimal"/>
      <w:lvlText w:val="%1"/>
      <w:lvlJc w:val="left"/>
      <w:pPr>
        <w:tabs>
          <w:tab w:val="num" w:pos="0"/>
        </w:tabs>
        <w:ind w:left="858" w:hanging="432"/>
      </w:pPr>
      <w:rPr/>
    </w:lvl>
    <w:lvl w:ilvl="1">
      <w:start w:val="1"/>
      <w:numFmt w:val="decimal"/>
      <w:lvlText w:val="%1.%2"/>
      <w:lvlJc w:val="left"/>
      <w:pPr>
        <w:tabs>
          <w:tab w:val="num" w:pos="0"/>
        </w:tabs>
        <w:ind w:left="576" w:hanging="576"/>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decimal"/>
      <w:lvlText w:val="%1"/>
      <w:lvlJc w:val="left"/>
      <w:pPr>
        <w:tabs>
          <w:tab w:val="num" w:pos="0"/>
        </w:tabs>
        <w:ind w:left="858" w:hanging="432"/>
      </w:pPr>
      <w:rPr/>
    </w:lvl>
    <w:lvl w:ilvl="1">
      <w:start w:val="1"/>
      <w:numFmt w:val="decimal"/>
      <w:lvlText w:val="%1.%2"/>
      <w:lvlJc w:val="left"/>
      <w:pPr>
        <w:tabs>
          <w:tab w:val="num" w:pos="0"/>
        </w:tabs>
        <w:ind w:left="576" w:hanging="576"/>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decimal"/>
      <w:lvlText w:val="%1"/>
      <w:lvlJc w:val="left"/>
      <w:pPr>
        <w:tabs>
          <w:tab w:val="num" w:pos="0"/>
        </w:tabs>
        <w:ind w:left="858" w:hanging="432"/>
      </w:pPr>
      <w:rPr/>
    </w:lvl>
    <w:lvl w:ilvl="1">
      <w:start w:val="1"/>
      <w:numFmt w:val="decimal"/>
      <w:lvlText w:val="%1.%2"/>
      <w:lvlJc w:val="left"/>
      <w:pPr>
        <w:tabs>
          <w:tab w:val="num" w:pos="0"/>
        </w:tabs>
        <w:ind w:left="576" w:hanging="576"/>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8">
    <w:lvl w:ilvl="0">
      <w:start w:val="1"/>
      <w:numFmt w:val="decimal"/>
      <w:lvlText w:val="%1"/>
      <w:lvlJc w:val="left"/>
      <w:pPr>
        <w:tabs>
          <w:tab w:val="num" w:pos="0"/>
        </w:tabs>
        <w:ind w:left="858" w:hanging="432"/>
      </w:pPr>
      <w:rPr/>
    </w:lvl>
    <w:lvl w:ilvl="1">
      <w:start w:val="1"/>
      <w:numFmt w:val="decimal"/>
      <w:lvlText w:val="%1.%2"/>
      <w:lvlJc w:val="left"/>
      <w:pPr>
        <w:tabs>
          <w:tab w:val="num" w:pos="0"/>
        </w:tabs>
        <w:ind w:left="576" w:hanging="576"/>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9">
    <w:lvl w:ilvl="0">
      <w:start w:val="1"/>
      <w:numFmt w:val="decimal"/>
      <w:lvlText w:val="%1"/>
      <w:lvlJc w:val="left"/>
      <w:pPr>
        <w:tabs>
          <w:tab w:val="num" w:pos="0"/>
        </w:tabs>
        <w:ind w:left="858" w:hanging="432"/>
      </w:pPr>
      <w:rPr/>
    </w:lvl>
    <w:lvl w:ilvl="1">
      <w:start w:val="1"/>
      <w:numFmt w:val="decimal"/>
      <w:lvlText w:val="%1.%2"/>
      <w:lvlJc w:val="left"/>
      <w:pPr>
        <w:tabs>
          <w:tab w:val="num" w:pos="0"/>
        </w:tabs>
        <w:ind w:left="576" w:hanging="576"/>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20">
    <w:lvl w:ilvl="0">
      <w:numFmt w:val="bullet"/>
      <w:lvlText w:val="·"/>
      <w:lvlJc w:val="left"/>
      <w:pPr>
        <w:tabs>
          <w:tab w:val="num" w:pos="432"/>
        </w:tabs>
        <w:ind w:left="0" w:hanging="0"/>
      </w:pPr>
      <w:rPr>
        <w:rFonts w:ascii="Symbol" w:hAnsi="Symbol" w:cs="Symbol" w:hint="default"/>
        <w:vertAlign w:val="baseline"/>
        <w:position w:val="0"/>
        <w:sz w:val="23"/>
        <w:sz w:val="23"/>
        <w:spacing w:val="5"/>
        <w:w w:val="100"/>
        <w:color w:val="000000"/>
        <w:lang w:val="de-DE"/>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21">
    <w:lvl w:ilvl="0">
      <w:numFmt w:val="bullet"/>
      <w:lvlText w:val="4"/>
      <w:lvlJc w:val="left"/>
      <w:pPr>
        <w:tabs>
          <w:tab w:val="num" w:pos="288"/>
        </w:tabs>
        <w:ind w:left="0" w:hanging="0"/>
      </w:pPr>
      <w:rPr>
        <w:rFonts w:ascii="Webdings" w:hAnsi="Webdings" w:cs="Webdings" w:hint="default"/>
        <w:vertAlign w:val="baseline"/>
        <w:position w:val="0"/>
        <w:sz w:val="23"/>
        <w:sz w:val="23"/>
        <w:spacing w:val="-1"/>
        <w:w w:val="100"/>
        <w:color w:val="000000"/>
        <w:lang w:val="de-DE"/>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22">
    <w:lvl w:ilvl="0">
      <w:start w:val="1"/>
      <w:numFmt w:val="decimal"/>
      <w:lvlText w:val="%1"/>
      <w:lvlJc w:val="left"/>
      <w:pPr>
        <w:tabs>
          <w:tab w:val="num" w:pos="0"/>
        </w:tabs>
        <w:ind w:left="858" w:hanging="432"/>
      </w:pPr>
      <w:rPr/>
    </w:lvl>
    <w:lvl w:ilvl="1">
      <w:start w:val="1"/>
      <w:numFmt w:val="decimal"/>
      <w:lvlText w:val="%1.%2"/>
      <w:lvlJc w:val="left"/>
      <w:pPr>
        <w:tabs>
          <w:tab w:val="num" w:pos="0"/>
        </w:tabs>
        <w:ind w:left="576" w:hanging="576"/>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23">
    <w:lvl w:ilvl="0">
      <w:start w:val="1"/>
      <w:numFmt w:val="decimal"/>
      <w:lvlText w:val="%1"/>
      <w:lvlJc w:val="left"/>
      <w:pPr>
        <w:tabs>
          <w:tab w:val="num" w:pos="0"/>
        </w:tabs>
        <w:ind w:left="858" w:hanging="432"/>
      </w:pPr>
      <w:rPr/>
    </w:lvl>
    <w:lvl w:ilvl="1">
      <w:start w:val="1"/>
      <w:numFmt w:val="decimal"/>
      <w:lvlText w:val="%1.%2"/>
      <w:lvlJc w:val="left"/>
      <w:pPr>
        <w:tabs>
          <w:tab w:val="num" w:pos="0"/>
        </w:tabs>
        <w:ind w:left="576" w:hanging="576"/>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24">
    <w:lvl w:ilvl="0">
      <w:start w:val="1"/>
      <w:numFmt w:val="decimal"/>
      <w:lvlText w:val="%1"/>
      <w:lvlJc w:val="left"/>
      <w:pPr>
        <w:tabs>
          <w:tab w:val="num" w:pos="0"/>
        </w:tabs>
        <w:ind w:left="858" w:hanging="432"/>
      </w:pPr>
      <w:rPr/>
    </w:lvl>
    <w:lvl w:ilvl="1">
      <w:start w:val="1"/>
      <w:numFmt w:val="decimal"/>
      <w:lvlText w:val="%1.%2"/>
      <w:lvlJc w:val="left"/>
      <w:pPr>
        <w:tabs>
          <w:tab w:val="num" w:pos="0"/>
        </w:tabs>
        <w:ind w:left="576" w:hanging="576"/>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25">
    <w:lvl w:ilvl="0">
      <w:start w:val="1"/>
      <w:numFmt w:val="decimal"/>
      <w:lvlText w:val="%1"/>
      <w:lvlJc w:val="left"/>
      <w:pPr>
        <w:tabs>
          <w:tab w:val="num" w:pos="0"/>
        </w:tabs>
        <w:ind w:left="858" w:hanging="432"/>
      </w:pPr>
      <w:rPr/>
    </w:lvl>
    <w:lvl w:ilvl="1">
      <w:start w:val="1"/>
      <w:numFmt w:val="decimal"/>
      <w:lvlText w:val="%1.%2"/>
      <w:lvlJc w:val="left"/>
      <w:pPr>
        <w:tabs>
          <w:tab w:val="num" w:pos="0"/>
        </w:tabs>
        <w:ind w:left="576" w:hanging="576"/>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26">
    <w:lvl w:ilvl="0">
      <w:start w:val="1"/>
      <w:numFmt w:val="decimal"/>
      <w:lvlText w:val="%1"/>
      <w:lvlJc w:val="left"/>
      <w:pPr>
        <w:tabs>
          <w:tab w:val="num" w:pos="0"/>
        </w:tabs>
        <w:ind w:left="858" w:hanging="432"/>
      </w:pPr>
      <w:rPr/>
    </w:lvl>
    <w:lvl w:ilvl="1">
      <w:start w:val="1"/>
      <w:numFmt w:val="decimal"/>
      <w:lvlText w:val="%1.%2"/>
      <w:lvlJc w:val="left"/>
      <w:pPr>
        <w:tabs>
          <w:tab w:val="num" w:pos="0"/>
        </w:tabs>
        <w:ind w:left="576" w:hanging="576"/>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2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3"/>
    <w:lvlOverride w:ilvl="0">
      <w:startOverride w:val="1"/>
    </w:lvlOverride>
  </w:num>
  <w:num w:numId="29">
    <w:abstractNumId w:val="4"/>
    <w:lvlOverride w:ilvl="0">
      <w:startOverride w:val="1"/>
    </w:lvlOverride>
  </w:num>
  <w:num w:numId="30">
    <w:abstractNumId w:val="4"/>
    <w:lvlOverride w:ilvl="0">
      <w:startOverride w:val="5"/>
    </w:lvlOverride>
  </w:num>
  <w:num w:numId="31">
    <w:abstractNumId w:val="4"/>
    <w:lvlOverride w:ilvl="0">
      <w:startOverride w:val="7"/>
    </w:lvlOverride>
  </w:num>
  <w:num w:numId="32">
    <w:abstractNumId w:val="4"/>
    <w:lvlOverride w:ilvl="0">
      <w:startOverride w:val="11"/>
    </w:lvlOverride>
  </w:num>
  <w:num w:numId="33">
    <w:abstractNumId w:val="4"/>
    <w:lvlOverride w:ilvl="0">
      <w:startOverride w:val="15"/>
    </w:lvlOverride>
  </w:num>
  <w:num w:numId="34">
    <w:abstractNumId w:val="4"/>
    <w:lvlOverride w:ilvl="0">
      <w:startOverride w:val="19"/>
    </w:lvlOverride>
  </w:num>
  <w:num w:numId="35">
    <w:abstractNumId w:val="4"/>
    <w:lvlOverride w:ilvl="0">
      <w:startOverride w:val="22"/>
    </w:lvlOverride>
  </w:num>
  <w:num w:numId="36">
    <w:abstractNumId w:val="4"/>
    <w:lvlOverride w:ilvl="0">
      <w:startOverride w:val="25"/>
    </w:lvlOverride>
  </w:num>
  <w:num w:numId="37">
    <w:abstractNumId w:val="4"/>
    <w:lvlOverride w:ilvl="0">
      <w:startOverride w:val="29"/>
    </w:lvlOverride>
  </w:num>
  <w:num w:numId="38">
    <w:abstractNumId w:val="16"/>
    <w:lvlOverride w:ilvl="0">
      <w:startOverride w:val="1"/>
    </w:lvlOverride>
  </w:num>
  <w:num w:numId="39">
    <w:abstractNumId w:val="4"/>
    <w:lvlOverride w:ilvl="0">
      <w:startOverride w:val="32"/>
    </w:lvlOverride>
  </w:num>
  <w:num w:numId="40">
    <w:abstractNumId w:val="4"/>
    <w:lvlOverride w:ilvl="0">
      <w:startOverride w:val="36"/>
    </w:lvlOverride>
  </w:num>
  <w:num w:numId="41">
    <w:abstractNumId w:val="4"/>
    <w:lvlOverride w:ilvl="0">
      <w:startOverride w:val="44"/>
    </w:lvlOverride>
  </w:num>
  <w:num w:numId="42">
    <w:abstractNumId w:val="4"/>
  </w:num>
  <w:num w:numId="43">
    <w:abstractNumId w:val="4"/>
    <w:lvlOverride w:ilvl="0">
      <w:startOverride w:val="49"/>
    </w:lvlOverride>
  </w:num>
  <w:num w:numId="44">
    <w:abstractNumId w:val="4"/>
    <w:lvlOverride w:ilvl="0">
      <w:startOverride w:val="50"/>
    </w:lvlOverride>
  </w:num>
  <w:num w:numId="45">
    <w:abstractNumId w:val="4"/>
    <w:lvlOverride w:ilvl="0">
      <w:startOverride w:val="52"/>
    </w:lvlOverride>
  </w:num>
  <w:num w:numId="46">
    <w:abstractNumId w:val="4"/>
    <w:lvlOverride w:ilvl="0">
      <w:startOverride w:val="54"/>
    </w:lvlOverride>
  </w:num>
  <w:num w:numId="47">
    <w:abstractNumId w:val="4"/>
    <w:lvlOverride w:ilvl="0">
      <w:startOverride w:val="1"/>
    </w:lvlOverride>
  </w:num>
  <w:num w:numId="48">
    <w:abstractNumId w:val="4"/>
  </w:num>
  <w:num w:numId="49">
    <w:abstractNumId w:val="4"/>
  </w:num>
  <w:num w:numId="50">
    <w:abstractNumId w:val="4"/>
  </w:num>
  <w:num w:numId="51">
    <w:abstractNumId w:val="4"/>
  </w:num>
  <w:num w:numId="52">
    <w:abstractNumId w:val="4"/>
  </w:num>
  <w:num w:numId="53">
    <w:abstractNumId w:val="4"/>
  </w:num>
</w:numbering>
</file>

<file path=word/settings.xml><?xml version="1.0" encoding="utf-8"?>
<w:settings xmlns:w="http://schemas.openxmlformats.org/wordprocessingml/2006/main">
  <w:zoom w:percent="100"/>
  <w:embedSystemFonts/>
  <w:defaultTabStop w:val="709"/>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de-DE" w:eastAsia="de-DE"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e02d5f"/>
    <w:pPr>
      <w:widowControl/>
      <w:suppressAutoHyphens w:val="true"/>
      <w:bidi w:val="0"/>
      <w:spacing w:before="0" w:after="0"/>
      <w:jc w:val="left"/>
    </w:pPr>
    <w:rPr>
      <w:rFonts w:ascii="Times New Roman" w:hAnsi="Times New Roman" w:eastAsia="Times New Roman" w:cs="Times New Roman"/>
      <w:color w:val="auto"/>
      <w:kern w:val="0"/>
      <w:sz w:val="20"/>
      <w:szCs w:val="20"/>
      <w:lang w:eastAsia="ar-SA" w:val="de-DE" w:bidi="ar-SA"/>
    </w:rPr>
  </w:style>
  <w:style w:type="paragraph" w:styleId="Heading1">
    <w:name w:val="Heading 1"/>
    <w:basedOn w:val="Normal"/>
    <w:next w:val="Normal"/>
    <w:link w:val="Berschrift1Zchn"/>
    <w:qFormat/>
    <w:pPr>
      <w:keepNext w:val="true"/>
      <w:numPr>
        <w:ilvl w:val="0"/>
        <w:numId w:val="1"/>
      </w:numPr>
      <w:spacing w:before="240" w:after="60"/>
      <w:outlineLvl w:val="0"/>
    </w:pPr>
    <w:rPr>
      <w:rFonts w:ascii="Arial" w:hAnsi="Arial" w:cs="Arial"/>
      <w:b/>
      <w:kern w:val="2"/>
      <w:sz w:val="28"/>
    </w:rPr>
  </w:style>
  <w:style w:type="paragraph" w:styleId="Heading2">
    <w:name w:val="Heading 2"/>
    <w:basedOn w:val="Normal"/>
    <w:next w:val="Normal"/>
    <w:link w:val="Berschrift2Zchn"/>
    <w:qFormat/>
    <w:pPr>
      <w:keepNext w:val="true"/>
      <w:numPr>
        <w:ilvl w:val="1"/>
        <w:numId w:val="1"/>
      </w:numPr>
      <w:spacing w:before="240" w:after="60"/>
      <w:outlineLvl w:val="1"/>
    </w:pPr>
    <w:rPr>
      <w:rFonts w:ascii="Arial" w:hAnsi="Arial" w:cs="Arial"/>
      <w:b/>
      <w:i/>
      <w:sz w:val="24"/>
    </w:rPr>
  </w:style>
  <w:style w:type="paragraph" w:styleId="Heading3">
    <w:name w:val="Heading 3"/>
    <w:basedOn w:val="Normal"/>
    <w:next w:val="Normal"/>
    <w:link w:val="Berschrift3Zchn"/>
    <w:qFormat/>
    <w:pPr>
      <w:keepNext w:val="true"/>
      <w:numPr>
        <w:ilvl w:val="2"/>
        <w:numId w:val="1"/>
      </w:numPr>
      <w:spacing w:before="240" w:after="60"/>
      <w:outlineLvl w:val="2"/>
    </w:pPr>
    <w:rPr>
      <w:rFonts w:ascii="Arial" w:hAnsi="Arial" w:cs="Arial"/>
      <w:sz w:val="24"/>
    </w:rPr>
  </w:style>
  <w:style w:type="paragraph" w:styleId="Heading4">
    <w:name w:val="Heading 4"/>
    <w:basedOn w:val="Normal"/>
    <w:next w:val="Normal"/>
    <w:link w:val="Berschrift4Zchn"/>
    <w:qFormat/>
    <w:pPr>
      <w:keepNext w:val="true"/>
      <w:numPr>
        <w:ilvl w:val="3"/>
        <w:numId w:val="1"/>
      </w:numPr>
      <w:tabs>
        <w:tab w:val="clear" w:pos="709"/>
        <w:tab w:val="right" w:pos="9639" w:leader="none"/>
      </w:tabs>
      <w:ind w:hanging="0" w:left="1134"/>
      <w:jc w:val="both"/>
      <w:outlineLvl w:val="3"/>
    </w:pPr>
    <w:rPr>
      <w:rFonts w:ascii="Arial" w:hAnsi="Arial" w:cs="Arial"/>
      <w:b/>
      <w:kern w:val="2"/>
      <w:sz w:val="24"/>
    </w:rPr>
  </w:style>
  <w:style w:type="paragraph" w:styleId="Heading5">
    <w:name w:val="Heading 5"/>
    <w:basedOn w:val="Normal"/>
    <w:next w:val="Normal"/>
    <w:link w:val="Berschrift5Zchn"/>
    <w:qFormat/>
    <w:pPr>
      <w:keepNext w:val="true"/>
      <w:numPr>
        <w:ilvl w:val="4"/>
        <w:numId w:val="1"/>
      </w:numPr>
      <w:outlineLvl w:val="4"/>
    </w:pPr>
    <w:rPr>
      <w:rFonts w:ascii="Arial" w:hAnsi="Arial" w:cs="Arial"/>
      <w:b/>
      <w:kern w:val="2"/>
      <w:sz w:val="24"/>
      <w:u w:val="single"/>
    </w:rPr>
  </w:style>
  <w:style w:type="paragraph" w:styleId="Heading6">
    <w:name w:val="Heading 6"/>
    <w:basedOn w:val="Normal"/>
    <w:next w:val="Normal"/>
    <w:link w:val="Berschrift6Zchn"/>
    <w:qFormat/>
    <w:pPr>
      <w:keepNext w:val="true"/>
      <w:numPr>
        <w:ilvl w:val="5"/>
        <w:numId w:val="1"/>
      </w:numPr>
      <w:outlineLvl w:val="5"/>
    </w:pPr>
    <w:rPr>
      <w:rFonts w:ascii="Arial" w:hAnsi="Arial" w:cs="Arial"/>
      <w:b/>
      <w:kern w:val="2"/>
      <w:sz w:val="24"/>
    </w:rPr>
  </w:style>
  <w:style w:type="paragraph" w:styleId="Heading7">
    <w:name w:val="Heading 7"/>
    <w:basedOn w:val="Normal"/>
    <w:next w:val="Normal"/>
    <w:link w:val="Berschrift7Zchn"/>
    <w:uiPriority w:val="99"/>
    <w:qFormat/>
    <w:pPr>
      <w:keepNext w:val="true"/>
      <w:numPr>
        <w:ilvl w:val="6"/>
        <w:numId w:val="1"/>
      </w:numPr>
      <w:jc w:val="both"/>
      <w:outlineLvl w:val="6"/>
    </w:pPr>
    <w:rPr>
      <w:rFonts w:ascii="Arial" w:hAnsi="Arial" w:cs="Arial"/>
      <w:b/>
      <w:kern w:val="2"/>
      <w:sz w:val="24"/>
    </w:rPr>
  </w:style>
  <w:style w:type="paragraph" w:styleId="Heading8">
    <w:name w:val="Heading 8"/>
    <w:basedOn w:val="Normal"/>
    <w:next w:val="Normal"/>
    <w:link w:val="Berschrift8Zchn"/>
    <w:uiPriority w:val="99"/>
    <w:qFormat/>
    <w:pPr>
      <w:keepNext w:val="true"/>
      <w:numPr>
        <w:ilvl w:val="7"/>
        <w:numId w:val="1"/>
      </w:numPr>
      <w:jc w:val="both"/>
      <w:outlineLvl w:val="7"/>
    </w:pPr>
    <w:rPr>
      <w:b/>
      <w:sz w:val="32"/>
      <w:u w:val="single"/>
    </w:rPr>
  </w:style>
  <w:style w:type="paragraph" w:styleId="Heading9">
    <w:name w:val="Heading 9"/>
    <w:basedOn w:val="Normal"/>
    <w:next w:val="Normal"/>
    <w:link w:val="Berschrift9Zchn"/>
    <w:uiPriority w:val="99"/>
    <w:qFormat/>
    <w:pPr>
      <w:keepNext w:val="true"/>
      <w:numPr>
        <w:ilvl w:val="8"/>
        <w:numId w:val="1"/>
      </w:numPr>
      <w:ind w:hanging="0" w:left="1134"/>
      <w:outlineLvl w:val="8"/>
    </w:pPr>
    <w:rPr>
      <w:rFonts w:ascii="Arial" w:hAnsi="Arial" w:cs="Arial"/>
      <w:b/>
      <w:sz w:val="24"/>
    </w:rPr>
  </w:style>
  <w:style w:type="character" w:styleId="DefaultParagraphFont" w:default="1">
    <w:name w:val="Default Paragraph Font"/>
    <w:uiPriority w:val="1"/>
    <w:semiHidden/>
    <w:unhideWhenUsed/>
    <w:qFormat/>
    <w:rPr/>
  </w:style>
  <w:style w:type="character" w:styleId="WW8Num2z0" w:customStyle="1">
    <w:name w:val="WW8Num2z0"/>
    <w:qFormat/>
    <w:rPr>
      <w:rFonts w:ascii="Symbol" w:hAnsi="Symbol" w:cs="Symbol"/>
    </w:rPr>
  </w:style>
  <w:style w:type="character" w:styleId="WW8Num3z0" w:customStyle="1">
    <w:name w:val="WW8Num3z0"/>
    <w:qFormat/>
    <w:rPr>
      <w:rFonts w:ascii="Symbol" w:hAnsi="Symbol" w:cs="Symbol"/>
    </w:rPr>
  </w:style>
  <w:style w:type="character" w:styleId="WW8Num4z0" w:customStyle="1">
    <w:name w:val="WW8Num4z0"/>
    <w:qFormat/>
    <w:rPr>
      <w:rFonts w:ascii="Arial" w:hAnsi="Arial" w:eastAsia="Times New Roman" w:cs="Arial"/>
    </w:rPr>
  </w:style>
  <w:style w:type="character" w:styleId="WW8Num4z1" w:customStyle="1">
    <w:name w:val="WW8Num4z1"/>
    <w:qFormat/>
    <w:rPr>
      <w:rFonts w:ascii="Courier New" w:hAnsi="Courier New" w:cs="Courier New"/>
    </w:rPr>
  </w:style>
  <w:style w:type="character" w:styleId="WW8Num4z2" w:customStyle="1">
    <w:name w:val="WW8Num4z2"/>
    <w:qFormat/>
    <w:rPr>
      <w:rFonts w:ascii="Wingdings" w:hAnsi="Wingdings" w:cs="Wingdings"/>
    </w:rPr>
  </w:style>
  <w:style w:type="character" w:styleId="WW8Num5z0" w:customStyle="1">
    <w:name w:val="WW8Num5z0"/>
    <w:qFormat/>
    <w:rPr>
      <w:rFonts w:ascii="Calibri" w:hAnsi="Calibri" w:eastAsia="Times New Roman" w:cs="Times New Roman"/>
    </w:rPr>
  </w:style>
  <w:style w:type="character" w:styleId="WW8Num5z1" w:customStyle="1">
    <w:name w:val="WW8Num5z1"/>
    <w:qFormat/>
    <w:rPr>
      <w:rFonts w:ascii="Courier New" w:hAnsi="Courier New" w:cs="Courier New"/>
    </w:rPr>
  </w:style>
  <w:style w:type="character" w:styleId="WW8Num5z2" w:customStyle="1">
    <w:name w:val="WW8Num5z2"/>
    <w:qFormat/>
    <w:rPr>
      <w:rFonts w:ascii="Wingdings" w:hAnsi="Wingdings" w:cs="Wingdings"/>
    </w:rPr>
  </w:style>
  <w:style w:type="character" w:styleId="WW8Num6z0" w:customStyle="1">
    <w:name w:val="WW8Num6z0"/>
    <w:qFormat/>
    <w:rPr>
      <w:rFonts w:ascii="Symbol" w:hAnsi="Symbol" w:cs="Symbol"/>
    </w:rPr>
  </w:style>
  <w:style w:type="character" w:styleId="WW8Num6z1" w:customStyle="1">
    <w:name w:val="WW8Num6z1"/>
    <w:qFormat/>
    <w:rPr>
      <w:rFonts w:ascii="Courier New" w:hAnsi="Courier New" w:cs="Courier New"/>
    </w:rPr>
  </w:style>
  <w:style w:type="character" w:styleId="WW8Num6z2" w:customStyle="1">
    <w:name w:val="WW8Num6z2"/>
    <w:qFormat/>
    <w:rPr>
      <w:rFonts w:ascii="Wingdings" w:hAnsi="Wingdings" w:cs="Wingdings"/>
    </w:rPr>
  </w:style>
  <w:style w:type="character" w:styleId="WW8Num7z0" w:customStyle="1">
    <w:name w:val="WW8Num7z0"/>
    <w:qFormat/>
    <w:rPr>
      <w:rFonts w:ascii="Arial" w:hAnsi="Arial" w:eastAsia="Times New Roman" w:cs="Arial"/>
    </w:rPr>
  </w:style>
  <w:style w:type="character" w:styleId="WW8Num7z1" w:customStyle="1">
    <w:name w:val="WW8Num7z1"/>
    <w:qFormat/>
    <w:rPr>
      <w:rFonts w:ascii="Courier New" w:hAnsi="Courier New" w:cs="Courier New"/>
    </w:rPr>
  </w:style>
  <w:style w:type="character" w:styleId="WW8Num7z2" w:customStyle="1">
    <w:name w:val="WW8Num7z2"/>
    <w:qFormat/>
    <w:rPr>
      <w:rFonts w:ascii="Wingdings" w:hAnsi="Wingdings" w:cs="Wingdings"/>
    </w:rPr>
  </w:style>
  <w:style w:type="character" w:styleId="WW8Num7z3" w:customStyle="1">
    <w:name w:val="WW8Num7z3"/>
    <w:qFormat/>
    <w:rPr>
      <w:rFonts w:ascii="Symbol" w:hAnsi="Symbol" w:cs="Symbol"/>
    </w:rPr>
  </w:style>
  <w:style w:type="character" w:styleId="WW8Num8z0" w:customStyle="1">
    <w:name w:val="WW8Num8z0"/>
    <w:qFormat/>
    <w:rPr>
      <w:rFonts w:ascii="Symbol" w:hAnsi="Symbol" w:cs="Symbol"/>
    </w:rPr>
  </w:style>
  <w:style w:type="character" w:styleId="WW8Num8z1" w:customStyle="1">
    <w:name w:val="WW8Num8z1"/>
    <w:qFormat/>
    <w:rPr>
      <w:rFonts w:ascii="Courier New" w:hAnsi="Courier New" w:cs="Courier New"/>
    </w:rPr>
  </w:style>
  <w:style w:type="character" w:styleId="WW8Num8z2" w:customStyle="1">
    <w:name w:val="WW8Num8z2"/>
    <w:qFormat/>
    <w:rPr>
      <w:rFonts w:ascii="Wingdings" w:hAnsi="Wingdings" w:cs="Wingdings"/>
    </w:rPr>
  </w:style>
  <w:style w:type="character" w:styleId="WW8Num8z3" w:customStyle="1">
    <w:name w:val="WW8Num8z3"/>
    <w:qFormat/>
    <w:rPr>
      <w:rFonts w:ascii="Symbol" w:hAnsi="Symbol" w:cs="Symbol"/>
    </w:rPr>
  </w:style>
  <w:style w:type="character" w:styleId="WW8Num9z0" w:customStyle="1">
    <w:name w:val="WW8Num9z0"/>
    <w:qFormat/>
    <w:rPr>
      <w:rFonts w:ascii="Symbol" w:hAnsi="Symbol" w:cs="Symbol"/>
    </w:rPr>
  </w:style>
  <w:style w:type="character" w:styleId="WW8Num9z1" w:customStyle="1">
    <w:name w:val="WW8Num9z1"/>
    <w:qFormat/>
    <w:rPr>
      <w:rFonts w:ascii="Courier New" w:hAnsi="Courier New" w:cs="Courier New"/>
    </w:rPr>
  </w:style>
  <w:style w:type="character" w:styleId="WW8Num9z2" w:customStyle="1">
    <w:name w:val="WW8Num9z2"/>
    <w:qFormat/>
    <w:rPr>
      <w:rFonts w:ascii="Wingdings" w:hAnsi="Wingdings" w:cs="Wingdings"/>
    </w:rPr>
  </w:style>
  <w:style w:type="character" w:styleId="WW8Num9z3" w:customStyle="1">
    <w:name w:val="WW8Num9z3"/>
    <w:qFormat/>
    <w:rPr>
      <w:rFonts w:ascii="Symbol" w:hAnsi="Symbol" w:cs="Symbol"/>
    </w:rPr>
  </w:style>
  <w:style w:type="character" w:styleId="WW8Num10z0" w:customStyle="1">
    <w:name w:val="WW8Num10z0"/>
    <w:qFormat/>
    <w:rPr>
      <w:rFonts w:ascii="Arial" w:hAnsi="Arial" w:eastAsia="Times New Roman" w:cs="Arial"/>
    </w:rPr>
  </w:style>
  <w:style w:type="character" w:styleId="WW8Num10z1" w:customStyle="1">
    <w:name w:val="WW8Num10z1"/>
    <w:qFormat/>
    <w:rPr>
      <w:rFonts w:ascii="Courier New" w:hAnsi="Courier New" w:cs="Courier New"/>
    </w:rPr>
  </w:style>
  <w:style w:type="character" w:styleId="WW8Num10z2" w:customStyle="1">
    <w:name w:val="WW8Num10z2"/>
    <w:qFormat/>
    <w:rPr>
      <w:rFonts w:ascii="Wingdings" w:hAnsi="Wingdings" w:cs="Wingdings"/>
    </w:rPr>
  </w:style>
  <w:style w:type="character" w:styleId="WW8Num10z3" w:customStyle="1">
    <w:name w:val="WW8Num10z3"/>
    <w:qFormat/>
    <w:rPr>
      <w:rFonts w:ascii="Symbol" w:hAnsi="Symbol" w:cs="Symbol"/>
    </w:rPr>
  </w:style>
  <w:style w:type="character" w:styleId="Absatz-Standardschriftart6" w:customStyle="1">
    <w:name w:val="Absatz-Standardschriftart6"/>
    <w:qFormat/>
    <w:rPr/>
  </w:style>
  <w:style w:type="character" w:styleId="WW8Num2z1" w:customStyle="1">
    <w:name w:val="WW8Num2z1"/>
    <w:qFormat/>
    <w:rPr>
      <w:rFonts w:ascii="Courier New" w:hAnsi="Courier New" w:cs="Courier New"/>
    </w:rPr>
  </w:style>
  <w:style w:type="character" w:styleId="WW8Num2z2" w:customStyle="1">
    <w:name w:val="WW8Num2z2"/>
    <w:qFormat/>
    <w:rPr>
      <w:rFonts w:ascii="Wingdings" w:hAnsi="Wingdings" w:cs="Wingdings"/>
    </w:rPr>
  </w:style>
  <w:style w:type="character" w:styleId="Absatz-Standardschriftart5" w:customStyle="1">
    <w:name w:val="Absatz-Standardschriftart5"/>
    <w:qFormat/>
    <w:rPr/>
  </w:style>
  <w:style w:type="character" w:styleId="Absatz-Standardschriftart4" w:customStyle="1">
    <w:name w:val="Absatz-Standardschriftart4"/>
    <w:qFormat/>
    <w:rPr/>
  </w:style>
  <w:style w:type="character" w:styleId="Absatz-Standardschriftart3" w:customStyle="1">
    <w:name w:val="Absatz-Standardschriftart3"/>
    <w:qFormat/>
    <w:rPr/>
  </w:style>
  <w:style w:type="character" w:styleId="Absatz-Standardschriftart2" w:customStyle="1">
    <w:name w:val="Absatz-Standardschriftart2"/>
    <w:qFormat/>
    <w:rPr/>
  </w:style>
  <w:style w:type="character" w:styleId="WW8Num1z0" w:customStyle="1">
    <w:name w:val="WW8Num1z0"/>
    <w:qFormat/>
    <w:rPr>
      <w:rFonts w:ascii="Symbol" w:hAnsi="Symbol" w:cs="Symbol"/>
    </w:rPr>
  </w:style>
  <w:style w:type="character" w:styleId="WW8Num1z1" w:customStyle="1">
    <w:name w:val="WW8Num1z1"/>
    <w:qFormat/>
    <w:rPr>
      <w:rFonts w:ascii="Courier New" w:hAnsi="Courier New" w:cs="Courier New"/>
    </w:rPr>
  </w:style>
  <w:style w:type="character" w:styleId="WW8Num1z2" w:customStyle="1">
    <w:name w:val="WW8Num1z2"/>
    <w:qFormat/>
    <w:rPr>
      <w:rFonts w:ascii="Wingdings" w:hAnsi="Wingdings" w:cs="Wingdings"/>
    </w:rPr>
  </w:style>
  <w:style w:type="character" w:styleId="WW8Num4z3" w:customStyle="1">
    <w:name w:val="WW8Num4z3"/>
    <w:qFormat/>
    <w:rPr>
      <w:rFonts w:ascii="Symbol" w:hAnsi="Symbol" w:cs="Symbol"/>
    </w:rPr>
  </w:style>
  <w:style w:type="character" w:styleId="WW8Num5z3" w:customStyle="1">
    <w:name w:val="WW8Num5z3"/>
    <w:qFormat/>
    <w:rPr>
      <w:rFonts w:ascii="Symbol" w:hAnsi="Symbol" w:cs="Symbol"/>
    </w:rPr>
  </w:style>
  <w:style w:type="character" w:styleId="WW8Num12z0" w:customStyle="1">
    <w:name w:val="WW8Num12z0"/>
    <w:qFormat/>
    <w:rPr>
      <w:rFonts w:ascii="Symbol" w:hAnsi="Symbol" w:cs="Symbol"/>
    </w:rPr>
  </w:style>
  <w:style w:type="character" w:styleId="WW8Num12z1" w:customStyle="1">
    <w:name w:val="WW8Num12z1"/>
    <w:qFormat/>
    <w:rPr>
      <w:rFonts w:ascii="Courier New" w:hAnsi="Courier New" w:cs="Courier New"/>
    </w:rPr>
  </w:style>
  <w:style w:type="character" w:styleId="WW8Num12z2" w:customStyle="1">
    <w:name w:val="WW8Num12z2"/>
    <w:qFormat/>
    <w:rPr>
      <w:rFonts w:ascii="Wingdings" w:hAnsi="Wingdings" w:cs="Wingdings"/>
    </w:rPr>
  </w:style>
  <w:style w:type="character" w:styleId="WW8Num13z0" w:customStyle="1">
    <w:name w:val="WW8Num13z0"/>
    <w:qFormat/>
    <w:rPr>
      <w:rFonts w:ascii="Symbol" w:hAnsi="Symbol" w:cs="Symbol"/>
    </w:rPr>
  </w:style>
  <w:style w:type="character" w:styleId="WW8Num13z1" w:customStyle="1">
    <w:name w:val="WW8Num13z1"/>
    <w:qFormat/>
    <w:rPr>
      <w:rFonts w:ascii="Courier New" w:hAnsi="Courier New" w:cs="Courier New"/>
    </w:rPr>
  </w:style>
  <w:style w:type="character" w:styleId="WW8Num13z2" w:customStyle="1">
    <w:name w:val="WW8Num13z2"/>
    <w:qFormat/>
    <w:rPr>
      <w:rFonts w:ascii="Wingdings" w:hAnsi="Wingdings" w:cs="Wingdings"/>
    </w:rPr>
  </w:style>
  <w:style w:type="character" w:styleId="WW8Num14z0" w:customStyle="1">
    <w:name w:val="WW8Num14z0"/>
    <w:qFormat/>
    <w:rPr>
      <w:rFonts w:ascii="Symbol" w:hAnsi="Symbol" w:cs="Symbol"/>
    </w:rPr>
  </w:style>
  <w:style w:type="character" w:styleId="WW8Num14z1" w:customStyle="1">
    <w:name w:val="WW8Num14z1"/>
    <w:qFormat/>
    <w:rPr>
      <w:rFonts w:ascii="Courier New" w:hAnsi="Courier New" w:cs="Courier New"/>
    </w:rPr>
  </w:style>
  <w:style w:type="character" w:styleId="WW8Num14z2" w:customStyle="1">
    <w:name w:val="WW8Num14z2"/>
    <w:qFormat/>
    <w:rPr>
      <w:rFonts w:ascii="Wingdings" w:hAnsi="Wingdings" w:cs="Wingdings"/>
    </w:rPr>
  </w:style>
  <w:style w:type="character" w:styleId="WW8Num15z0" w:customStyle="1">
    <w:name w:val="WW8Num15z0"/>
    <w:qFormat/>
    <w:rPr>
      <w:rFonts w:ascii="Symbol" w:hAnsi="Symbol" w:cs="Symbol"/>
    </w:rPr>
  </w:style>
  <w:style w:type="character" w:styleId="WW8Num15z1" w:customStyle="1">
    <w:name w:val="WW8Num15z1"/>
    <w:qFormat/>
    <w:rPr>
      <w:rFonts w:ascii="Courier New" w:hAnsi="Courier New" w:cs="Courier New"/>
    </w:rPr>
  </w:style>
  <w:style w:type="character" w:styleId="WW8Num15z2" w:customStyle="1">
    <w:name w:val="WW8Num15z2"/>
    <w:qFormat/>
    <w:rPr>
      <w:rFonts w:ascii="Wingdings" w:hAnsi="Wingdings" w:cs="Wingdings"/>
    </w:rPr>
  </w:style>
  <w:style w:type="character" w:styleId="WW8Num18z0" w:customStyle="1">
    <w:name w:val="WW8Num18z0"/>
    <w:qFormat/>
    <w:rPr>
      <w:rFonts w:ascii="Symbol" w:hAnsi="Symbol" w:cs="Symbol"/>
    </w:rPr>
  </w:style>
  <w:style w:type="character" w:styleId="WW8Num18z1" w:customStyle="1">
    <w:name w:val="WW8Num18z1"/>
    <w:qFormat/>
    <w:rPr>
      <w:rFonts w:ascii="Courier New" w:hAnsi="Courier New" w:cs="Courier New"/>
    </w:rPr>
  </w:style>
  <w:style w:type="character" w:styleId="WW8Num18z2" w:customStyle="1">
    <w:name w:val="WW8Num18z2"/>
    <w:qFormat/>
    <w:rPr>
      <w:rFonts w:ascii="Wingdings" w:hAnsi="Wingdings" w:cs="Wingdings"/>
    </w:rPr>
  </w:style>
  <w:style w:type="character" w:styleId="WW8Num19z0" w:customStyle="1">
    <w:name w:val="WW8Num19z0"/>
    <w:qFormat/>
    <w:rPr>
      <w:rFonts w:ascii="Arial" w:hAnsi="Arial" w:eastAsia="Times New Roman" w:cs="Arial"/>
    </w:rPr>
  </w:style>
  <w:style w:type="character" w:styleId="WW8Num19z1" w:customStyle="1">
    <w:name w:val="WW8Num19z1"/>
    <w:qFormat/>
    <w:rPr>
      <w:rFonts w:ascii="Courier New" w:hAnsi="Courier New" w:cs="Courier New"/>
    </w:rPr>
  </w:style>
  <w:style w:type="character" w:styleId="WW8Num19z2" w:customStyle="1">
    <w:name w:val="WW8Num19z2"/>
    <w:qFormat/>
    <w:rPr>
      <w:rFonts w:ascii="Wingdings" w:hAnsi="Wingdings" w:cs="Wingdings"/>
    </w:rPr>
  </w:style>
  <w:style w:type="character" w:styleId="WW8Num19z3" w:customStyle="1">
    <w:name w:val="WW8Num19z3"/>
    <w:qFormat/>
    <w:rPr>
      <w:rFonts w:ascii="Symbol" w:hAnsi="Symbol" w:cs="Symbol"/>
    </w:rPr>
  </w:style>
  <w:style w:type="character" w:styleId="WW8Num22z0" w:customStyle="1">
    <w:name w:val="WW8Num22z0"/>
    <w:qFormat/>
    <w:rPr>
      <w:rFonts w:ascii="Arial" w:hAnsi="Arial" w:eastAsia="Times New Roman" w:cs="Arial"/>
    </w:rPr>
  </w:style>
  <w:style w:type="character" w:styleId="WW8Num22z1" w:customStyle="1">
    <w:name w:val="WW8Num22z1"/>
    <w:qFormat/>
    <w:rPr>
      <w:rFonts w:ascii="Courier New" w:hAnsi="Courier New" w:cs="Courier New"/>
    </w:rPr>
  </w:style>
  <w:style w:type="character" w:styleId="WW8Num22z2" w:customStyle="1">
    <w:name w:val="WW8Num22z2"/>
    <w:qFormat/>
    <w:rPr>
      <w:rFonts w:ascii="Wingdings" w:hAnsi="Wingdings" w:cs="Wingdings"/>
    </w:rPr>
  </w:style>
  <w:style w:type="character" w:styleId="WW8Num22z3" w:customStyle="1">
    <w:name w:val="WW8Num22z3"/>
    <w:qFormat/>
    <w:rPr>
      <w:rFonts w:ascii="Symbol" w:hAnsi="Symbol" w:cs="Symbol"/>
    </w:rPr>
  </w:style>
  <w:style w:type="character" w:styleId="WW8Num23z0" w:customStyle="1">
    <w:name w:val="WW8Num23z0"/>
    <w:qFormat/>
    <w:rPr>
      <w:rFonts w:ascii="Symbol" w:hAnsi="Symbol" w:cs="Symbol"/>
    </w:rPr>
  </w:style>
  <w:style w:type="character" w:styleId="WW8Num23z1" w:customStyle="1">
    <w:name w:val="WW8Num23z1"/>
    <w:qFormat/>
    <w:rPr>
      <w:rFonts w:ascii="Courier New" w:hAnsi="Courier New" w:cs="Courier New"/>
    </w:rPr>
  </w:style>
  <w:style w:type="character" w:styleId="WW8Num23z2" w:customStyle="1">
    <w:name w:val="WW8Num23z2"/>
    <w:qFormat/>
    <w:rPr>
      <w:rFonts w:ascii="Wingdings" w:hAnsi="Wingdings" w:cs="Wingdings"/>
    </w:rPr>
  </w:style>
  <w:style w:type="character" w:styleId="WW8Num24z0" w:customStyle="1">
    <w:name w:val="WW8Num24z0"/>
    <w:qFormat/>
    <w:rPr>
      <w:rFonts w:ascii="Arial" w:hAnsi="Arial" w:eastAsia="Times New Roman" w:cs="Arial"/>
    </w:rPr>
  </w:style>
  <w:style w:type="character" w:styleId="WW8Num24z1" w:customStyle="1">
    <w:name w:val="WW8Num24z1"/>
    <w:qFormat/>
    <w:rPr>
      <w:rFonts w:ascii="Courier New" w:hAnsi="Courier New" w:cs="Courier New"/>
    </w:rPr>
  </w:style>
  <w:style w:type="character" w:styleId="WW8Num24z2" w:customStyle="1">
    <w:name w:val="WW8Num24z2"/>
    <w:qFormat/>
    <w:rPr>
      <w:rFonts w:ascii="Wingdings" w:hAnsi="Wingdings" w:cs="Wingdings"/>
    </w:rPr>
  </w:style>
  <w:style w:type="character" w:styleId="WW8Num24z3" w:customStyle="1">
    <w:name w:val="WW8Num24z3"/>
    <w:qFormat/>
    <w:rPr>
      <w:rFonts w:ascii="Symbol" w:hAnsi="Symbol" w:cs="Symbol"/>
    </w:rPr>
  </w:style>
  <w:style w:type="character" w:styleId="WW8Num27z0" w:customStyle="1">
    <w:name w:val="WW8Num27z0"/>
    <w:qFormat/>
    <w:rPr>
      <w:rFonts w:ascii="Symbol" w:hAnsi="Symbol" w:cs="Symbol"/>
    </w:rPr>
  </w:style>
  <w:style w:type="character" w:styleId="WW8Num27z1" w:customStyle="1">
    <w:name w:val="WW8Num27z1"/>
    <w:qFormat/>
    <w:rPr>
      <w:rFonts w:ascii="Courier New" w:hAnsi="Courier New" w:cs="Courier New"/>
    </w:rPr>
  </w:style>
  <w:style w:type="character" w:styleId="WW8Num27z2" w:customStyle="1">
    <w:name w:val="WW8Num27z2"/>
    <w:qFormat/>
    <w:rPr>
      <w:rFonts w:ascii="Wingdings" w:hAnsi="Wingdings" w:cs="Wingdings"/>
    </w:rPr>
  </w:style>
  <w:style w:type="character" w:styleId="Absatz-Standardschriftart1" w:customStyle="1">
    <w:name w:val="Absatz-Standardschriftart1"/>
    <w:qFormat/>
    <w:rPr/>
  </w:style>
  <w:style w:type="character" w:styleId="Hyperlink">
    <w:name w:val="Hyperlink"/>
    <w:uiPriority w:val="99"/>
    <w:rPr>
      <w:color w:val="0000FF"/>
      <w:u w:val="single"/>
    </w:rPr>
  </w:style>
  <w:style w:type="character" w:styleId="BesuchterHyperlink1" w:customStyle="1">
    <w:name w:val="BesuchterHyperlink1"/>
    <w:qFormat/>
    <w:rPr>
      <w:color w:val="800080"/>
      <w:u w:val="single"/>
    </w:rPr>
  </w:style>
  <w:style w:type="character" w:styleId="Pagenumber">
    <w:name w:val="page number"/>
    <w:basedOn w:val="Absatz-Standardschriftart1"/>
    <w:qFormat/>
    <w:rPr/>
  </w:style>
  <w:style w:type="character" w:styleId="Textkrper3Zchn" w:customStyle="1">
    <w:name w:val="Textkörper 3 Zchn"/>
    <w:uiPriority w:val="99"/>
    <w:qFormat/>
    <w:rPr>
      <w:sz w:val="16"/>
      <w:szCs w:val="16"/>
    </w:rPr>
  </w:style>
  <w:style w:type="character" w:styleId="SprechblasentextZchn" w:customStyle="1">
    <w:name w:val="Sprechblasentext Zchn"/>
    <w:uiPriority w:val="99"/>
    <w:qFormat/>
    <w:rPr>
      <w:rFonts w:ascii="Tahoma" w:hAnsi="Tahoma" w:cs="Tahoma"/>
      <w:sz w:val="16"/>
      <w:szCs w:val="16"/>
    </w:rPr>
  </w:style>
  <w:style w:type="character" w:styleId="Strong">
    <w:name w:val="Strong"/>
    <w:qFormat/>
    <w:rPr>
      <w:b/>
      <w:bCs/>
    </w:rPr>
  </w:style>
  <w:style w:type="character" w:styleId="Fliesstext" w:customStyle="1">
    <w:name w:val="fliesstext"/>
    <w:qFormat/>
    <w:rPr/>
  </w:style>
  <w:style w:type="character" w:styleId="TextkrperZchn" w:customStyle="1">
    <w:name w:val="Textkörper Zchn"/>
    <w:uiPriority w:val="99"/>
    <w:qFormat/>
    <w:rPr>
      <w:rFonts w:ascii="Bookman Old Style" w:hAnsi="Bookman Old Style" w:cs="Bookman Old Style"/>
    </w:rPr>
  </w:style>
  <w:style w:type="character" w:styleId="MakrotextZchn" w:customStyle="1">
    <w:name w:val="Makrotext Zchn"/>
    <w:qFormat/>
    <w:rPr>
      <w:rFonts w:ascii="Arial" w:hAnsi="Arial" w:cs="Arial"/>
      <w:lang w:val="de-DE" w:eastAsia="ar-SA" w:bidi="ar-SA"/>
    </w:rPr>
  </w:style>
  <w:style w:type="character" w:styleId="FollowedHyperlink">
    <w:name w:val="FollowedHyperlink"/>
    <w:uiPriority w:val="99"/>
    <w:rPr>
      <w:color w:val="800080"/>
      <w:u w:val="single"/>
    </w:rPr>
  </w:style>
  <w:style w:type="character" w:styleId="Textkrper2Zchn" w:customStyle="1">
    <w:name w:val="Textkörper 2 Zchn"/>
    <w:uiPriority w:val="99"/>
    <w:qFormat/>
    <w:rPr>
      <w:rFonts w:ascii="Arial" w:hAnsi="Arial" w:cs="Arial"/>
      <w:b/>
      <w:bCs/>
      <w:kern w:val="2"/>
      <w:sz w:val="24"/>
    </w:rPr>
  </w:style>
  <w:style w:type="character" w:styleId="Emphasis">
    <w:name w:val="Emphasis"/>
    <w:qFormat/>
    <w:rPr>
      <w:i/>
      <w:iCs/>
    </w:rPr>
  </w:style>
  <w:style w:type="character" w:styleId="AnredeZchn" w:customStyle="1">
    <w:name w:val="Anrede Zchn"/>
    <w:qFormat/>
    <w:rPr>
      <w:rFonts w:ascii="Calibri" w:hAnsi="Calibri" w:cs="Calibri"/>
      <w:sz w:val="24"/>
    </w:rPr>
  </w:style>
  <w:style w:type="character" w:styleId="KopfzeileZchn" w:customStyle="1">
    <w:name w:val="Kopfzeile Zchn"/>
    <w:uiPriority w:val="99"/>
    <w:qFormat/>
    <w:rPr/>
  </w:style>
  <w:style w:type="character" w:styleId="Nummerierungszeichen" w:customStyle="1">
    <w:name w:val="Nummerierungszeichen"/>
    <w:qFormat/>
    <w:rPr/>
  </w:style>
  <w:style w:type="character" w:styleId="FunotentextZchn" w:customStyle="1">
    <w:name w:val="Fußnotentext Zchn"/>
    <w:uiPriority w:val="99"/>
    <w:semiHidden/>
    <w:qFormat/>
    <w:rsid w:val="00f131fe"/>
    <w:rPr>
      <w:rFonts w:ascii="Arial" w:hAnsi="Arial"/>
      <w:sz w:val="18"/>
    </w:rPr>
  </w:style>
  <w:style w:type="character" w:styleId="Funotenzeichen">
    <w:name w:val="Fußnotenzeichen"/>
    <w:semiHidden/>
    <w:qFormat/>
    <w:rsid w:val="00f131fe"/>
    <w:rPr>
      <w:vertAlign w:val="superscript"/>
    </w:rPr>
  </w:style>
  <w:style w:type="character" w:styleId="FootnoteReference">
    <w:name w:val="Footnote Reference"/>
    <w:rPr>
      <w:vertAlign w:val="superscript"/>
    </w:rPr>
  </w:style>
  <w:style w:type="character" w:styleId="Textkrper-Einzug2Zchn" w:customStyle="1">
    <w:name w:val="Textkörper-Einzug 2 Zchn"/>
    <w:link w:val="BodyTextIndent2"/>
    <w:uiPriority w:val="99"/>
    <w:qFormat/>
    <w:rsid w:val="00f131fe"/>
    <w:rPr>
      <w:rFonts w:ascii="Arial" w:hAnsi="Arial"/>
      <w:bCs/>
      <w:sz w:val="22"/>
    </w:rPr>
  </w:style>
  <w:style w:type="character" w:styleId="Textkrper-Einzug3Zchn" w:customStyle="1">
    <w:name w:val="Textkörper-Einzug 3 Zchn"/>
    <w:link w:val="BodyTextIndent3"/>
    <w:uiPriority w:val="99"/>
    <w:qFormat/>
    <w:rsid w:val="00f131fe"/>
    <w:rPr>
      <w:rFonts w:ascii="Arial" w:hAnsi="Arial"/>
      <w:bCs/>
      <w:sz w:val="22"/>
    </w:rPr>
  </w:style>
  <w:style w:type="character" w:styleId="Textkrper2Zchn1" w:customStyle="1">
    <w:name w:val="Textkörper 2 Zchn1"/>
    <w:link w:val="BodyText2"/>
    <w:qFormat/>
    <w:rsid w:val="00f131fe"/>
    <w:rPr>
      <w:rFonts w:ascii="Arial" w:hAnsi="Arial"/>
      <w:bCs/>
      <w:sz w:val="22"/>
      <w:u w:val="single"/>
    </w:rPr>
  </w:style>
  <w:style w:type="character" w:styleId="Textkrper3Zchn1" w:customStyle="1">
    <w:name w:val="Textkörper 3 Zchn1"/>
    <w:link w:val="BodyText3"/>
    <w:qFormat/>
    <w:rsid w:val="00f131fe"/>
    <w:rPr>
      <w:rFonts w:ascii="Arial" w:hAnsi="Arial"/>
      <w:sz w:val="22"/>
      <w:szCs w:val="24"/>
    </w:rPr>
  </w:style>
  <w:style w:type="character" w:styleId="KopfzeileChar" w:customStyle="1">
    <w:name w:val="Kopfzeile Char"/>
    <w:qFormat/>
    <w:rsid w:val="00f131fe"/>
    <w:rPr>
      <w:rFonts w:ascii="Avalon" w:hAnsi="Avalon"/>
      <w:sz w:val="22"/>
      <w:lang w:val="de-DE" w:eastAsia="de-DE" w:bidi="ar-SA"/>
    </w:rPr>
  </w:style>
  <w:style w:type="character" w:styleId="FormatvorlageKopfzeileFettChar" w:customStyle="1">
    <w:name w:val="Formatvorlage Kopfzeile + Fett Char"/>
    <w:qFormat/>
    <w:rsid w:val="00f131fe"/>
    <w:rPr>
      <w:rFonts w:ascii="Arial" w:hAnsi="Arial"/>
      <w:b/>
      <w:bCs/>
      <w:sz w:val="22"/>
      <w:lang w:val="de-DE" w:eastAsia="de-DE" w:bidi="ar-SA"/>
    </w:rPr>
  </w:style>
  <w:style w:type="character" w:styleId="FormatvorlageKopfzeileFettUnterschneidungab14ptChar" w:customStyle="1">
    <w:name w:val="Formatvorlage Kopfzeile + Fett Unterschneidung ab 14 pt Char"/>
    <w:qFormat/>
    <w:rsid w:val="00f131fe"/>
    <w:rPr>
      <w:rFonts w:ascii="Arial" w:hAnsi="Arial"/>
      <w:b/>
      <w:bCs/>
      <w:kern w:val="2"/>
      <w:sz w:val="22"/>
      <w:lang w:val="de-DE" w:eastAsia="de-DE" w:bidi="ar-SA"/>
    </w:rPr>
  </w:style>
  <w:style w:type="character" w:styleId="Formatvorlage16ptFett" w:customStyle="1">
    <w:name w:val="Formatvorlage 16 pt Fett"/>
    <w:qFormat/>
    <w:rsid w:val="00f131fe"/>
    <w:rPr>
      <w:rFonts w:ascii="Arial" w:hAnsi="Arial"/>
      <w:b/>
      <w:bCs/>
      <w:sz w:val="32"/>
    </w:rPr>
  </w:style>
  <w:style w:type="character" w:styleId="FormatvorlageKopfzeileUnterschneidungab14ptChar" w:customStyle="1">
    <w:name w:val="Formatvorlage Kopfzeile + Unterschneidung ab 14 pt Char"/>
    <w:qFormat/>
    <w:rsid w:val="00f131fe"/>
    <w:rPr>
      <w:rFonts w:ascii="Arial" w:hAnsi="Arial"/>
      <w:kern w:val="2"/>
      <w:sz w:val="22"/>
      <w:lang w:val="de-DE" w:eastAsia="de-DE" w:bidi="ar-SA"/>
    </w:rPr>
  </w:style>
  <w:style w:type="character" w:styleId="FormatvorlageFett" w:customStyle="1">
    <w:name w:val="Formatvorlage Fett"/>
    <w:qFormat/>
    <w:rsid w:val="00f131fe"/>
    <w:rPr>
      <w:rFonts w:ascii="Arial" w:hAnsi="Arial"/>
      <w:b/>
      <w:bCs/>
    </w:rPr>
  </w:style>
  <w:style w:type="character" w:styleId="Formatvorlage10pt" w:customStyle="1">
    <w:name w:val="Formatvorlage 10 pt"/>
    <w:qFormat/>
    <w:rsid w:val="00f131fe"/>
    <w:rPr>
      <w:rFonts w:ascii="Arial" w:hAnsi="Arial"/>
      <w:sz w:val="20"/>
    </w:rPr>
  </w:style>
  <w:style w:type="character" w:styleId="TextkrperChar" w:customStyle="1">
    <w:name w:val="Textkörper Char"/>
    <w:qFormat/>
    <w:rsid w:val="00f131fe"/>
    <w:rPr>
      <w:rFonts w:ascii="Arial" w:hAnsi="Arial"/>
      <w:b/>
      <w:sz w:val="32"/>
      <w:lang w:val="de-DE" w:eastAsia="de-DE" w:bidi="ar-SA"/>
    </w:rPr>
  </w:style>
  <w:style w:type="character" w:styleId="FormatvorlageTextkrper11ptNichtFettChar" w:customStyle="1">
    <w:name w:val="Formatvorlage Textkörper + 11 pt Nicht Fett Char"/>
    <w:qFormat/>
    <w:rsid w:val="00f131fe"/>
    <w:rPr>
      <w:rFonts w:ascii="Arial" w:hAnsi="Arial"/>
      <w:b/>
      <w:sz w:val="22"/>
      <w:lang w:val="de-DE" w:eastAsia="de-DE" w:bidi="ar-SA"/>
    </w:rPr>
  </w:style>
  <w:style w:type="character" w:styleId="FuzeileZchn" w:customStyle="1">
    <w:name w:val="Fußzeile Zchn"/>
    <w:uiPriority w:val="99"/>
    <w:qFormat/>
    <w:rsid w:val="00f131fe"/>
    <w:rPr>
      <w:lang w:eastAsia="ar-SA"/>
    </w:rPr>
  </w:style>
  <w:style w:type="character" w:styleId="FontStyle105" w:customStyle="1">
    <w:name w:val="Font Style105"/>
    <w:uiPriority w:val="99"/>
    <w:qFormat/>
    <w:rsid w:val="00f131fe"/>
    <w:rPr>
      <w:rFonts w:ascii="Arial" w:hAnsi="Arial" w:cs="Arial"/>
      <w:sz w:val="22"/>
      <w:szCs w:val="22"/>
    </w:rPr>
  </w:style>
  <w:style w:type="character" w:styleId="ListenabsatzZchn" w:customStyle="1">
    <w:name w:val="Listenabsatz Zchn"/>
    <w:link w:val="ListParagraph"/>
    <w:uiPriority w:val="34"/>
    <w:qFormat/>
    <w:rsid w:val="00f131fe"/>
    <w:rPr>
      <w:lang w:eastAsia="ar-SA"/>
    </w:rPr>
  </w:style>
  <w:style w:type="character" w:styleId="Berschrift1Zchn" w:customStyle="1">
    <w:name w:val="Überschrift 1 Zchn"/>
    <w:basedOn w:val="DefaultParagraphFont"/>
    <w:qFormat/>
    <w:rsid w:val="007b0aa9"/>
    <w:rPr>
      <w:rFonts w:ascii="Arial" w:hAnsi="Arial" w:cs="Arial"/>
      <w:b/>
      <w:kern w:val="2"/>
      <w:sz w:val="28"/>
      <w:lang w:eastAsia="ar-SA"/>
    </w:rPr>
  </w:style>
  <w:style w:type="character" w:styleId="Berschrift2Zchn" w:customStyle="1">
    <w:name w:val="Überschrift 2 Zchn"/>
    <w:basedOn w:val="DefaultParagraphFont"/>
    <w:qFormat/>
    <w:rsid w:val="007b0aa9"/>
    <w:rPr>
      <w:rFonts w:ascii="Arial" w:hAnsi="Arial" w:cs="Arial"/>
      <w:b/>
      <w:i/>
      <w:sz w:val="24"/>
      <w:lang w:eastAsia="ar-SA"/>
    </w:rPr>
  </w:style>
  <w:style w:type="character" w:styleId="Berschrift3Zchn" w:customStyle="1">
    <w:name w:val="Überschrift 3 Zchn"/>
    <w:basedOn w:val="DefaultParagraphFont"/>
    <w:qFormat/>
    <w:rsid w:val="007b0aa9"/>
    <w:rPr>
      <w:rFonts w:ascii="Arial" w:hAnsi="Arial" w:cs="Arial"/>
      <w:sz w:val="24"/>
      <w:lang w:eastAsia="ar-SA"/>
    </w:rPr>
  </w:style>
  <w:style w:type="character" w:styleId="Berschrift4Zchn" w:customStyle="1">
    <w:name w:val="Überschrift 4 Zchn"/>
    <w:basedOn w:val="DefaultParagraphFont"/>
    <w:qFormat/>
    <w:rsid w:val="007b0aa9"/>
    <w:rPr>
      <w:rFonts w:ascii="Arial" w:hAnsi="Arial" w:cs="Arial"/>
      <w:b/>
      <w:kern w:val="2"/>
      <w:sz w:val="24"/>
      <w:lang w:eastAsia="ar-SA"/>
    </w:rPr>
  </w:style>
  <w:style w:type="character" w:styleId="Berschrift5Zchn" w:customStyle="1">
    <w:name w:val="Überschrift 5 Zchn"/>
    <w:basedOn w:val="DefaultParagraphFont"/>
    <w:qFormat/>
    <w:rsid w:val="007b0aa9"/>
    <w:rPr>
      <w:rFonts w:ascii="Arial" w:hAnsi="Arial" w:cs="Arial"/>
      <w:b/>
      <w:kern w:val="2"/>
      <w:sz w:val="24"/>
      <w:u w:val="single"/>
      <w:lang w:eastAsia="ar-SA"/>
    </w:rPr>
  </w:style>
  <w:style w:type="character" w:styleId="Berschrift6Zchn" w:customStyle="1">
    <w:name w:val="Überschrift 6 Zchn"/>
    <w:basedOn w:val="DefaultParagraphFont"/>
    <w:qFormat/>
    <w:rsid w:val="007b0aa9"/>
    <w:rPr>
      <w:rFonts w:ascii="Arial" w:hAnsi="Arial" w:cs="Arial"/>
      <w:b/>
      <w:kern w:val="2"/>
      <w:sz w:val="24"/>
      <w:lang w:eastAsia="ar-SA"/>
    </w:rPr>
  </w:style>
  <w:style w:type="character" w:styleId="Berschrift7Zchn" w:customStyle="1">
    <w:name w:val="Überschrift 7 Zchn"/>
    <w:basedOn w:val="DefaultParagraphFont"/>
    <w:uiPriority w:val="99"/>
    <w:qFormat/>
    <w:rsid w:val="007b0aa9"/>
    <w:rPr>
      <w:rFonts w:ascii="Arial" w:hAnsi="Arial" w:cs="Arial"/>
      <w:b/>
      <w:kern w:val="2"/>
      <w:sz w:val="24"/>
      <w:lang w:eastAsia="ar-SA"/>
    </w:rPr>
  </w:style>
  <w:style w:type="character" w:styleId="Berschrift8Zchn" w:customStyle="1">
    <w:name w:val="Überschrift 8 Zchn"/>
    <w:basedOn w:val="DefaultParagraphFont"/>
    <w:uiPriority w:val="99"/>
    <w:qFormat/>
    <w:rsid w:val="007b0aa9"/>
    <w:rPr>
      <w:b/>
      <w:sz w:val="32"/>
      <w:u w:val="single"/>
      <w:lang w:eastAsia="ar-SA"/>
    </w:rPr>
  </w:style>
  <w:style w:type="character" w:styleId="Berschrift9Zchn" w:customStyle="1">
    <w:name w:val="Überschrift 9 Zchn"/>
    <w:basedOn w:val="DefaultParagraphFont"/>
    <w:uiPriority w:val="99"/>
    <w:qFormat/>
    <w:rsid w:val="007b0aa9"/>
    <w:rPr>
      <w:rFonts w:ascii="Arial" w:hAnsi="Arial" w:cs="Arial"/>
      <w:b/>
      <w:sz w:val="24"/>
      <w:lang w:eastAsia="ar-SA"/>
    </w:rPr>
  </w:style>
  <w:style w:type="character" w:styleId="KommentartextZchn" w:customStyle="1">
    <w:name w:val="Kommentartext Zchn"/>
    <w:basedOn w:val="DefaultParagraphFont"/>
    <w:link w:val="Annotationtext"/>
    <w:uiPriority w:val="99"/>
    <w:semiHidden/>
    <w:qFormat/>
    <w:rsid w:val="007b0aa9"/>
    <w:rPr>
      <w:rFonts w:ascii="Calibri" w:hAnsi="Calibri"/>
    </w:rPr>
  </w:style>
  <w:style w:type="character" w:styleId="TitelZchn" w:customStyle="1">
    <w:name w:val="Titel Zchn"/>
    <w:basedOn w:val="DefaultParagraphFont"/>
    <w:uiPriority w:val="99"/>
    <w:qFormat/>
    <w:rsid w:val="007b0aa9"/>
    <w:rPr>
      <w:rFonts w:ascii="Calibri" w:hAnsi="Calibri"/>
      <w:b/>
      <w:sz w:val="32"/>
    </w:rPr>
  </w:style>
  <w:style w:type="character" w:styleId="Textkrper-ZeileneinzugZchn" w:customStyle="1">
    <w:name w:val="Textkörper-Zeileneinzug Zchn"/>
    <w:basedOn w:val="DefaultParagraphFont"/>
    <w:uiPriority w:val="99"/>
    <w:qFormat/>
    <w:rsid w:val="007b0aa9"/>
    <w:rPr>
      <w:rFonts w:ascii="Arial" w:hAnsi="Arial" w:cs="Arial"/>
      <w:sz w:val="24"/>
      <w:lang w:eastAsia="ar-SA"/>
    </w:rPr>
  </w:style>
  <w:style w:type="character" w:styleId="DokumentstrukturZchn" w:customStyle="1">
    <w:name w:val="Dokumentstruktur Zchn"/>
    <w:basedOn w:val="DefaultParagraphFont"/>
    <w:link w:val="DocumentMap"/>
    <w:uiPriority w:val="99"/>
    <w:semiHidden/>
    <w:qFormat/>
    <w:rsid w:val="007b0aa9"/>
    <w:rPr>
      <w:rFonts w:ascii="Tahoma" w:hAnsi="Tahoma"/>
      <w:sz w:val="22"/>
      <w:shd w:fill="000080" w:val="clear"/>
    </w:rPr>
  </w:style>
  <w:style w:type="character" w:styleId="NurTextZchn" w:customStyle="1">
    <w:name w:val="Nur Text Zchn"/>
    <w:basedOn w:val="DefaultParagraphFont"/>
    <w:link w:val="PlainText"/>
    <w:uiPriority w:val="99"/>
    <w:semiHidden/>
    <w:qFormat/>
    <w:rsid w:val="007b0aa9"/>
    <w:rPr>
      <w:rFonts w:ascii="Courier New" w:hAnsi="Courier New"/>
    </w:rPr>
  </w:style>
  <w:style w:type="character" w:styleId="KommentarthemaZchn" w:customStyle="1">
    <w:name w:val="Kommentarthema Zchn"/>
    <w:basedOn w:val="KommentartextZchn"/>
    <w:link w:val="Annotationsubject"/>
    <w:uiPriority w:val="99"/>
    <w:semiHidden/>
    <w:qFormat/>
    <w:rsid w:val="007b0aa9"/>
    <w:rPr>
      <w:rFonts w:ascii="Calibri" w:hAnsi="Calibri"/>
      <w:b/>
      <w:bCs/>
    </w:rPr>
  </w:style>
  <w:style w:type="character" w:styleId="Flietext" w:customStyle="1">
    <w:name w:val="Fließtext_"/>
    <w:basedOn w:val="DefaultParagraphFont"/>
    <w:link w:val="BodyText"/>
    <w:qFormat/>
    <w:locked/>
    <w:rsid w:val="007b0aa9"/>
    <w:rPr>
      <w:rFonts w:ascii="Avalon" w:hAnsi="Avalon"/>
      <w:sz w:val="22"/>
    </w:rPr>
  </w:style>
  <w:style w:type="character" w:styleId="Flietext8" w:customStyle="1">
    <w:name w:val="Fließtext (8)_"/>
    <w:basedOn w:val="DefaultParagraphFont"/>
    <w:link w:val="Flietext81"/>
    <w:semiHidden/>
    <w:qFormat/>
    <w:locked/>
    <w:rsid w:val="007b0aa9"/>
    <w:rPr>
      <w:rFonts w:ascii="Arial" w:hAnsi="Arial" w:eastAsia="Arial" w:cs="Arial"/>
      <w:sz w:val="21"/>
      <w:szCs w:val="21"/>
      <w:shd w:fill="FFFFFF" w:val="clear"/>
    </w:rPr>
  </w:style>
  <w:style w:type="character" w:styleId="Flietext20" w:customStyle="1">
    <w:name w:val="Fließtext (20)_"/>
    <w:basedOn w:val="DefaultParagraphFont"/>
    <w:link w:val="Flietext201"/>
    <w:semiHidden/>
    <w:qFormat/>
    <w:locked/>
    <w:rsid w:val="007b0aa9"/>
    <w:rPr>
      <w:rFonts w:ascii="Arial" w:hAnsi="Arial" w:eastAsia="Arial" w:cs="Arial"/>
      <w:b/>
      <w:bCs/>
      <w:sz w:val="23"/>
      <w:szCs w:val="23"/>
      <w:shd w:fill="FFFFFF" w:val="clear"/>
    </w:rPr>
  </w:style>
  <w:style w:type="character" w:styleId="Flietext33" w:customStyle="1">
    <w:name w:val="Fließtext (33)_"/>
    <w:basedOn w:val="DefaultParagraphFont"/>
    <w:link w:val="Flietext331"/>
    <w:semiHidden/>
    <w:qFormat/>
    <w:locked/>
    <w:rsid w:val="007b0aa9"/>
    <w:rPr>
      <w:b/>
      <w:bCs/>
      <w:sz w:val="22"/>
      <w:szCs w:val="22"/>
      <w:shd w:fill="FFFFFF" w:val="clear"/>
    </w:rPr>
  </w:style>
  <w:style w:type="character" w:styleId="Flietext10" w:customStyle="1">
    <w:name w:val="Fließtext (10)_"/>
    <w:basedOn w:val="DefaultParagraphFont"/>
    <w:link w:val="Flietext101"/>
    <w:uiPriority w:val="99"/>
    <w:semiHidden/>
    <w:qFormat/>
    <w:locked/>
    <w:rsid w:val="007b0aa9"/>
    <w:rPr>
      <w:rFonts w:ascii="Arial" w:hAnsi="Arial" w:cs="Arial"/>
      <w:b/>
      <w:bCs/>
      <w:shd w:fill="FFFFFF" w:val="clear"/>
    </w:rPr>
  </w:style>
  <w:style w:type="character" w:styleId="Flietext2" w:customStyle="1">
    <w:name w:val="Fließtext (2)_"/>
    <w:basedOn w:val="DefaultParagraphFont"/>
    <w:link w:val="Flietext21"/>
    <w:semiHidden/>
    <w:qFormat/>
    <w:locked/>
    <w:rsid w:val="007b0aa9"/>
    <w:rPr>
      <w:rFonts w:ascii="Calibri" w:hAnsi="Calibri" w:cs="Calibri"/>
      <w:shd w:fill="FFFFFF" w:val="clear"/>
    </w:rPr>
  </w:style>
  <w:style w:type="character" w:styleId="Flietext3" w:customStyle="1">
    <w:name w:val="Fließtext (3)_"/>
    <w:basedOn w:val="DefaultParagraphFont"/>
    <w:link w:val="Flietext31"/>
    <w:uiPriority w:val="99"/>
    <w:semiHidden/>
    <w:qFormat/>
    <w:locked/>
    <w:rsid w:val="007b0aa9"/>
    <w:rPr>
      <w:rFonts w:ascii="Arial" w:hAnsi="Arial" w:cs="Arial"/>
      <w:b/>
      <w:bCs/>
      <w:shd w:fill="FFFFFF" w:val="clear"/>
    </w:rPr>
  </w:style>
  <w:style w:type="character" w:styleId="Flietext11" w:customStyle="1">
    <w:name w:val="Fließtext (11)_"/>
    <w:basedOn w:val="DefaultParagraphFont"/>
    <w:link w:val="Flietext111"/>
    <w:uiPriority w:val="99"/>
    <w:semiHidden/>
    <w:qFormat/>
    <w:locked/>
    <w:rsid w:val="007b0aa9"/>
    <w:rPr>
      <w:rFonts w:ascii="Arial" w:hAnsi="Arial" w:cs="Arial"/>
      <w:i/>
      <w:iCs/>
      <w:shd w:fill="FFFFFF" w:val="clear"/>
    </w:rPr>
  </w:style>
  <w:style w:type="character" w:styleId="Berschrift132" w:customStyle="1">
    <w:name w:val="Überschrift #13 (2)_"/>
    <w:basedOn w:val="DefaultParagraphFont"/>
    <w:link w:val="Berschrift1321"/>
    <w:uiPriority w:val="99"/>
    <w:semiHidden/>
    <w:qFormat/>
    <w:locked/>
    <w:rsid w:val="007b0aa9"/>
    <w:rPr>
      <w:rFonts w:ascii="Arial" w:hAnsi="Arial" w:cs="Arial"/>
      <w:b/>
      <w:bCs/>
      <w:shd w:fill="FFFFFF" w:val="clear"/>
    </w:rPr>
  </w:style>
  <w:style w:type="character" w:styleId="Berschrift133" w:customStyle="1">
    <w:name w:val="Überschrift #13 (3)_"/>
    <w:basedOn w:val="DefaultParagraphFont"/>
    <w:link w:val="Berschrift1331"/>
    <w:uiPriority w:val="99"/>
    <w:semiHidden/>
    <w:qFormat/>
    <w:locked/>
    <w:rsid w:val="007b0aa9"/>
    <w:rPr>
      <w:rFonts w:ascii="Arial" w:hAnsi="Arial" w:cs="Arial"/>
      <w:b/>
      <w:bCs/>
      <w:i/>
      <w:iCs/>
      <w:shd w:fill="FFFFFF" w:val="clear"/>
    </w:rPr>
  </w:style>
  <w:style w:type="character" w:styleId="Berschrift12" w:customStyle="1">
    <w:name w:val="Überschrift #12_"/>
    <w:basedOn w:val="DefaultParagraphFont"/>
    <w:link w:val="Berschrift121"/>
    <w:semiHidden/>
    <w:qFormat/>
    <w:locked/>
    <w:rsid w:val="007b0aa9"/>
    <w:rPr>
      <w:rFonts w:ascii="Calibri" w:hAnsi="Calibri" w:eastAsia="Calibri" w:cs="Calibri"/>
      <w:b/>
      <w:bCs/>
      <w:spacing w:val="-40"/>
      <w:sz w:val="39"/>
      <w:szCs w:val="39"/>
      <w:shd w:fill="FFFFFF" w:val="clear"/>
    </w:rPr>
  </w:style>
  <w:style w:type="character" w:styleId="Flietext29" w:customStyle="1">
    <w:name w:val="Fließtext (29)_"/>
    <w:basedOn w:val="DefaultParagraphFont"/>
    <w:link w:val="Flietext291"/>
    <w:semiHidden/>
    <w:qFormat/>
    <w:locked/>
    <w:rsid w:val="007b0aa9"/>
    <w:rPr>
      <w:rFonts w:ascii="Arial Unicode MS" w:hAnsi="Arial Unicode MS" w:eastAsia="Arial Unicode MS" w:cs="Arial Unicode MS"/>
      <w:i/>
      <w:iCs/>
      <w:spacing w:val="-10"/>
      <w:sz w:val="21"/>
      <w:szCs w:val="21"/>
      <w:shd w:fill="FFFFFF" w:val="clear"/>
    </w:rPr>
  </w:style>
  <w:style w:type="character" w:styleId="Flietext23" w:customStyle="1">
    <w:name w:val="Fließtext (23)_"/>
    <w:basedOn w:val="DefaultParagraphFont"/>
    <w:link w:val="Flietext231"/>
    <w:semiHidden/>
    <w:qFormat/>
    <w:locked/>
    <w:rsid w:val="007b0aa9"/>
    <w:rPr>
      <w:rFonts w:ascii="Microsoft Sans Serif" w:hAnsi="Microsoft Sans Serif" w:eastAsia="Microsoft Sans Serif" w:cs="Microsoft Sans Serif"/>
      <w:sz w:val="22"/>
      <w:szCs w:val="22"/>
      <w:shd w:fill="FFFFFF" w:val="clear"/>
    </w:rPr>
  </w:style>
  <w:style w:type="character" w:styleId="Annotationreference">
    <w:name w:val="annotation reference"/>
    <w:basedOn w:val="DefaultParagraphFont"/>
    <w:uiPriority w:val="99"/>
    <w:semiHidden/>
    <w:unhideWhenUsed/>
    <w:qFormat/>
    <w:rsid w:val="007b0aa9"/>
    <w:rPr>
      <w:sz w:val="16"/>
      <w:szCs w:val="16"/>
    </w:rPr>
  </w:style>
  <w:style w:type="character" w:styleId="Kopf-oderFuzeile" w:customStyle="1">
    <w:name w:val="Kopf- oder Fußzeile_"/>
    <w:basedOn w:val="DefaultParagraphFont"/>
    <w:qFormat/>
    <w:rsid w:val="007b0aa9"/>
    <w:rPr>
      <w:rFonts w:ascii="Arial" w:hAnsi="Arial" w:eastAsia="Arial" w:cs="Arial"/>
      <w:b/>
      <w:bCs/>
      <w:i w:val="false"/>
      <w:iCs w:val="false"/>
      <w:caps w:val="false"/>
      <w:smallCaps w:val="false"/>
      <w:strike w:val="false"/>
      <w:dstrike w:val="false"/>
      <w:sz w:val="17"/>
      <w:szCs w:val="17"/>
      <w:u w:val="none"/>
      <w:effect w:val="none"/>
    </w:rPr>
  </w:style>
  <w:style w:type="character" w:styleId="Kopf-oderFuzeile1" w:customStyle="1">
    <w:name w:val="Kopf- oder Fußzeile"/>
    <w:basedOn w:val="Kopf-oderFuzeile"/>
    <w:qFormat/>
    <w:rsid w:val="007b0aa9"/>
    <w:rPr>
      <w:rFonts w:ascii="Arial" w:hAnsi="Arial" w:eastAsia="Arial" w:cs="Arial"/>
      <w:b/>
      <w:bCs/>
      <w:i w:val="false"/>
      <w:iCs w:val="false"/>
      <w:caps w:val="false"/>
      <w:smallCaps w:val="false"/>
      <w:strike w:val="false"/>
      <w:dstrike w:val="false"/>
      <w:color w:val="000000"/>
      <w:spacing w:val="0"/>
      <w:w w:val="100"/>
      <w:sz w:val="17"/>
      <w:szCs w:val="17"/>
      <w:u w:val="none"/>
      <w:effect w:val="none"/>
      <w:lang w:val="de-DE" w:eastAsia="de-DE" w:bidi="de-DE"/>
    </w:rPr>
  </w:style>
  <w:style w:type="character" w:styleId="FlietextArial" w:customStyle="1">
    <w:name w:val="Fließtext + Arial"/>
    <w:basedOn w:val="Flietext"/>
    <w:qFormat/>
    <w:rsid w:val="007b0aa9"/>
    <w:rPr>
      <w:rFonts w:ascii="Arial" w:hAnsi="Arial" w:eastAsia="Arial" w:cs="Arial"/>
      <w:i w:val="false"/>
      <w:iCs w:val="false"/>
      <w:caps w:val="false"/>
      <w:smallCaps w:val="false"/>
      <w:strike w:val="false"/>
      <w:dstrike w:val="false"/>
      <w:color w:val="000000"/>
      <w:spacing w:val="0"/>
      <w:w w:val="100"/>
      <w:sz w:val="22"/>
      <w:u w:val="none"/>
      <w:effect w:val="none"/>
      <w:lang w:val="de-DE" w:eastAsia="de-DE" w:bidi="de-DE"/>
    </w:rPr>
  </w:style>
  <w:style w:type="character" w:styleId="Flietext4" w:customStyle="1">
    <w:name w:val="Fließtext (4)_"/>
    <w:basedOn w:val="DefaultParagraphFont"/>
    <w:qFormat/>
    <w:rsid w:val="007b0aa9"/>
    <w:rPr>
      <w:rFonts w:ascii="Arial" w:hAnsi="Arial" w:eastAsia="Arial" w:cs="Arial"/>
      <w:b/>
      <w:bCs/>
      <w:i w:val="false"/>
      <w:iCs w:val="false"/>
      <w:caps w:val="false"/>
      <w:smallCaps w:val="false"/>
      <w:strike w:val="false"/>
      <w:dstrike w:val="false"/>
      <w:sz w:val="19"/>
      <w:szCs w:val="19"/>
      <w:u w:val="none"/>
      <w:effect w:val="none"/>
    </w:rPr>
  </w:style>
  <w:style w:type="character" w:styleId="Flietext41" w:customStyle="1">
    <w:name w:val="Fließtext (4)"/>
    <w:basedOn w:val="Flietext4"/>
    <w:qFormat/>
    <w:rsid w:val="007b0aa9"/>
    <w:rPr>
      <w:rFonts w:ascii="Arial" w:hAnsi="Arial" w:eastAsia="Arial" w:cs="Arial"/>
      <w:b/>
      <w:bCs/>
      <w:i w:val="false"/>
      <w:iCs w:val="false"/>
      <w:caps w:val="false"/>
      <w:smallCaps w:val="false"/>
      <w:strike w:val="false"/>
      <w:dstrike w:val="false"/>
      <w:color w:val="000000"/>
      <w:spacing w:val="0"/>
      <w:w w:val="100"/>
      <w:sz w:val="19"/>
      <w:szCs w:val="19"/>
      <w:u w:val="single"/>
      <w:effect w:val="none"/>
      <w:lang w:val="de-DE" w:eastAsia="de-DE" w:bidi="de-DE"/>
    </w:rPr>
  </w:style>
  <w:style w:type="character" w:styleId="Flietext40" w:customStyle="1">
    <w:name w:val="Fließtext (40)_"/>
    <w:basedOn w:val="DefaultParagraphFont"/>
    <w:qFormat/>
    <w:rsid w:val="007b0aa9"/>
    <w:rPr>
      <w:rFonts w:ascii="Arial" w:hAnsi="Arial" w:eastAsia="Arial" w:cs="Arial"/>
      <w:b w:val="false"/>
      <w:bCs w:val="false"/>
      <w:i w:val="false"/>
      <w:iCs w:val="false"/>
      <w:caps w:val="false"/>
      <w:smallCaps w:val="false"/>
      <w:strike w:val="false"/>
      <w:dstrike w:val="false"/>
      <w:sz w:val="17"/>
      <w:szCs w:val="17"/>
      <w:u w:val="none"/>
      <w:effect w:val="none"/>
    </w:rPr>
  </w:style>
  <w:style w:type="character" w:styleId="Flietext401" w:customStyle="1">
    <w:name w:val="Fließtext (40)"/>
    <w:basedOn w:val="Flietext40"/>
    <w:qFormat/>
    <w:rsid w:val="007b0aa9"/>
    <w:rPr>
      <w:rFonts w:ascii="Arial" w:hAnsi="Arial" w:eastAsia="Arial" w:cs="Arial"/>
      <w:b w:val="false"/>
      <w:bCs w:val="false"/>
      <w:i w:val="false"/>
      <w:iCs w:val="false"/>
      <w:caps w:val="false"/>
      <w:smallCaps w:val="false"/>
      <w:strike w:val="false"/>
      <w:dstrike w:val="false"/>
      <w:color w:val="000000"/>
      <w:spacing w:val="0"/>
      <w:w w:val="100"/>
      <w:sz w:val="17"/>
      <w:szCs w:val="17"/>
      <w:u w:val="none"/>
      <w:effect w:val="none"/>
      <w:lang w:val="de-DE" w:eastAsia="de-DE" w:bidi="de-DE"/>
    </w:rPr>
  </w:style>
  <w:style w:type="character" w:styleId="Flietext25" w:customStyle="1">
    <w:name w:val="Fließtext (25)_"/>
    <w:basedOn w:val="DefaultParagraphFont"/>
    <w:qFormat/>
    <w:rsid w:val="007b0aa9"/>
    <w:rPr>
      <w:rFonts w:ascii="Calibri" w:hAnsi="Calibri" w:eastAsia="Calibri" w:cs="Calibri"/>
      <w:b/>
      <w:bCs/>
      <w:i w:val="false"/>
      <w:iCs w:val="false"/>
      <w:caps w:val="false"/>
      <w:smallCaps w:val="false"/>
      <w:strike w:val="false"/>
      <w:dstrike w:val="false"/>
      <w:sz w:val="19"/>
      <w:szCs w:val="19"/>
      <w:u w:val="none"/>
      <w:effect w:val="none"/>
    </w:rPr>
  </w:style>
  <w:style w:type="character" w:styleId="Flietext251" w:customStyle="1">
    <w:name w:val="Fließtext (25)"/>
    <w:basedOn w:val="Flietext25"/>
    <w:qFormat/>
    <w:rsid w:val="007b0aa9"/>
    <w:rPr>
      <w:rFonts w:ascii="Calibri" w:hAnsi="Calibri" w:eastAsia="Calibri" w:cs="Calibri"/>
      <w:b/>
      <w:bCs/>
      <w:i w:val="false"/>
      <w:iCs w:val="false"/>
      <w:caps w:val="false"/>
      <w:smallCaps w:val="false"/>
      <w:strike w:val="false"/>
      <w:dstrike w:val="false"/>
      <w:color w:val="000000"/>
      <w:spacing w:val="0"/>
      <w:w w:val="100"/>
      <w:sz w:val="19"/>
      <w:szCs w:val="19"/>
      <w:u w:val="none"/>
      <w:effect w:val="none"/>
      <w:lang w:val="de-DE" w:eastAsia="de-DE" w:bidi="de-DE"/>
    </w:rPr>
  </w:style>
  <w:style w:type="character" w:styleId="FlietextFett1" w:customStyle="1">
    <w:name w:val="Fließtext + Fett1"/>
    <w:basedOn w:val="Flietext"/>
    <w:uiPriority w:val="99"/>
    <w:qFormat/>
    <w:rsid w:val="007b0aa9"/>
    <w:rPr>
      <w:rFonts w:ascii="Arial" w:hAnsi="Arial" w:cs="Arial"/>
      <w:strike w:val="false"/>
      <w:dstrike w:val="false"/>
      <w:sz w:val="20"/>
      <w:szCs w:val="20"/>
      <w:u w:val="none"/>
      <w:effect w:val="none"/>
    </w:rPr>
  </w:style>
  <w:style w:type="character" w:styleId="Flietext11Nichtkursiv1" w:customStyle="1">
    <w:name w:val="Fließtext (11) + Nicht kursiv1"/>
    <w:basedOn w:val="Flietext11"/>
    <w:uiPriority w:val="99"/>
    <w:qFormat/>
    <w:rsid w:val="007b0aa9"/>
    <w:rPr>
      <w:rFonts w:ascii="Arial" w:hAnsi="Arial" w:cs="Arial"/>
      <w:i w:val="false"/>
      <w:iCs w:val="false"/>
      <w:shd w:fill="FFFFFF" w:val="clear"/>
    </w:rPr>
  </w:style>
  <w:style w:type="character" w:styleId="FlietextKursiv" w:customStyle="1">
    <w:name w:val="Fließtext + Kursiv"/>
    <w:basedOn w:val="Flietext"/>
    <w:qFormat/>
    <w:rsid w:val="007b0aa9"/>
    <w:rPr>
      <w:rFonts w:ascii="Arial" w:hAnsi="Arial" w:cs="Arial"/>
      <w:b/>
      <w:bCs/>
      <w:i/>
      <w:iCs/>
      <w:strike w:val="false"/>
      <w:dstrike w:val="false"/>
      <w:sz w:val="20"/>
      <w:szCs w:val="20"/>
      <w:u w:val="none"/>
      <w:effect w:val="none"/>
    </w:rPr>
  </w:style>
  <w:style w:type="character" w:styleId="Verzeichnissprung">
    <w:name w:val="Verzeichnissprung"/>
    <w:qFormat/>
    <w:rPr/>
  </w:style>
  <w:style w:type="paragraph" w:styleId="Berschrift" w:customStyle="1">
    <w:name w:val="Überschrift"/>
    <w:basedOn w:val="Normal"/>
    <w:next w:val="BodyText"/>
    <w:qFormat/>
    <w:pPr>
      <w:keepNext w:val="true"/>
      <w:spacing w:before="240" w:after="120"/>
    </w:pPr>
    <w:rPr>
      <w:rFonts w:ascii="Arial" w:hAnsi="Arial" w:eastAsia="Microsoft YaHei" w:cs="Arial"/>
      <w:sz w:val="28"/>
      <w:szCs w:val="28"/>
    </w:rPr>
  </w:style>
  <w:style w:type="paragraph" w:styleId="BodyText" w:customStyle="1">
    <w:name w:val="Body Text"/>
    <w:link w:val="Flietext"/>
    <w:rsid w:val="00f131fe"/>
    <w:pPr>
      <w:widowControl/>
      <w:bidi w:val="0"/>
      <w:spacing w:before="60" w:after="0"/>
      <w:jc w:val="both"/>
    </w:pPr>
    <w:rPr>
      <w:rFonts w:ascii="Avalon" w:hAnsi="Avalon" w:eastAsia="Times New Roman" w:cs="Times New Roman"/>
      <w:color w:val="auto"/>
      <w:kern w:val="0"/>
      <w:sz w:val="22"/>
      <w:szCs w:val="20"/>
      <w:lang w:val="de-DE" w:eastAsia="de-DE" w:bidi="ar-SA"/>
    </w:rPr>
  </w:style>
  <w:style w:type="paragraph" w:styleId="List" w:customStyle="1">
    <w:name w:val="List"/>
    <w:basedOn w:val="Normal"/>
    <w:uiPriority w:val="99"/>
    <w:semiHidden/>
    <w:rsid w:val="007b0aa9"/>
    <w:pPr>
      <w:numPr>
        <w:ilvl w:val="0"/>
        <w:numId w:val="5"/>
      </w:numPr>
      <w:suppressAutoHyphens w:val="false"/>
      <w:spacing w:before="120" w:after="0"/>
      <w:ind w:hanging="357" w:left="357" w:right="113"/>
      <w:jc w:val="both"/>
    </w:pPr>
    <w:rPr>
      <w:rFonts w:ascii="Calibri" w:hAnsi="Calibri"/>
      <w:sz w:val="22"/>
      <w:lang w:eastAsia="de-DE"/>
    </w:rPr>
  </w:style>
  <w:style w:type="paragraph" w:styleId="Caption">
    <w:name w:val="Caption"/>
    <w:basedOn w:val="Normal"/>
    <w:qFormat/>
    <w:pPr>
      <w:suppressLineNumbers/>
      <w:spacing w:before="120" w:after="120"/>
    </w:pPr>
    <w:rPr>
      <w:rFonts w:cs="Lucida Sans"/>
      <w:i/>
      <w:iCs/>
      <w:sz w:val="24"/>
      <w:szCs w:val="24"/>
    </w:rPr>
  </w:style>
  <w:style w:type="paragraph" w:styleId="Verzeichnis" w:customStyle="1">
    <w:name w:val="Verzeichnis"/>
    <w:basedOn w:val="Normal"/>
    <w:qFormat/>
    <w:pPr>
      <w:suppressLineNumbers/>
    </w:pPr>
    <w:rPr>
      <w:rFonts w:cs="Arial"/>
    </w:rPr>
  </w:style>
  <w:style w:type="paragraph" w:styleId="Beschriftung6" w:customStyle="1">
    <w:name w:val="Beschriftung6"/>
    <w:basedOn w:val="Normal"/>
    <w:qFormat/>
    <w:pPr>
      <w:suppressLineNumbers/>
      <w:spacing w:before="120" w:after="120"/>
    </w:pPr>
    <w:rPr>
      <w:rFonts w:cs="Arial"/>
      <w:i/>
      <w:iCs/>
      <w:sz w:val="24"/>
      <w:szCs w:val="24"/>
    </w:rPr>
  </w:style>
  <w:style w:type="paragraph" w:styleId="Beschriftung5" w:customStyle="1">
    <w:name w:val="Beschriftung5"/>
    <w:basedOn w:val="Normal"/>
    <w:qFormat/>
    <w:pPr>
      <w:suppressLineNumbers/>
      <w:spacing w:before="120" w:after="120"/>
    </w:pPr>
    <w:rPr>
      <w:rFonts w:cs="Arial"/>
      <w:i/>
      <w:iCs/>
      <w:sz w:val="24"/>
      <w:szCs w:val="24"/>
    </w:rPr>
  </w:style>
  <w:style w:type="paragraph" w:styleId="Beschriftung4" w:customStyle="1">
    <w:name w:val="Beschriftung4"/>
    <w:basedOn w:val="Normal"/>
    <w:qFormat/>
    <w:pPr>
      <w:suppressLineNumbers/>
      <w:spacing w:before="120" w:after="120"/>
    </w:pPr>
    <w:rPr>
      <w:rFonts w:cs="Arial"/>
      <w:i/>
      <w:iCs/>
      <w:sz w:val="24"/>
      <w:szCs w:val="24"/>
    </w:rPr>
  </w:style>
  <w:style w:type="paragraph" w:styleId="Beschriftung3" w:customStyle="1">
    <w:name w:val="Beschriftung3"/>
    <w:basedOn w:val="Normal"/>
    <w:qFormat/>
    <w:pPr>
      <w:suppressLineNumbers/>
      <w:spacing w:before="120" w:after="120"/>
    </w:pPr>
    <w:rPr>
      <w:rFonts w:cs="Arial"/>
      <w:i/>
      <w:iCs/>
      <w:sz w:val="24"/>
      <w:szCs w:val="24"/>
    </w:rPr>
  </w:style>
  <w:style w:type="paragraph" w:styleId="Beschriftung2" w:customStyle="1">
    <w:name w:val="Beschriftung2"/>
    <w:basedOn w:val="Normal"/>
    <w:qFormat/>
    <w:pPr>
      <w:suppressLineNumbers/>
      <w:spacing w:before="120" w:after="120"/>
    </w:pPr>
    <w:rPr>
      <w:rFonts w:cs="Arial"/>
      <w:i/>
      <w:iCs/>
      <w:sz w:val="24"/>
      <w:szCs w:val="24"/>
    </w:rPr>
  </w:style>
  <w:style w:type="paragraph" w:styleId="Beschriftung1" w:customStyle="1">
    <w:name w:val="Beschriftung1"/>
    <w:basedOn w:val="Normal"/>
    <w:qFormat/>
    <w:pPr>
      <w:suppressLineNumbers/>
      <w:spacing w:before="120" w:after="120"/>
    </w:pPr>
    <w:rPr>
      <w:rFonts w:cs="Arial"/>
      <w:i/>
      <w:iCs/>
      <w:sz w:val="24"/>
      <w:szCs w:val="24"/>
    </w:rPr>
  </w:style>
  <w:style w:type="paragraph" w:styleId="Dokumentstruktur1" w:customStyle="1">
    <w:name w:val="Dokumentstruktur1"/>
    <w:basedOn w:val="Normal"/>
    <w:qFormat/>
    <w:pPr>
      <w:shd w:val="clear" w:color="auto" w:fill="000080"/>
    </w:pPr>
    <w:rPr>
      <w:rFonts w:ascii="Tahoma" w:hAnsi="Tahoma" w:cs="Tahoma"/>
    </w:rPr>
  </w:style>
  <w:style w:type="paragraph" w:styleId="Kopf-undFuzeile">
    <w:name w:val="Kopf- und Fußzeile"/>
    <w:basedOn w:val="Normal"/>
    <w:qFormat/>
    <w:pPr/>
    <w:rPr/>
  </w:style>
  <w:style w:type="paragraph" w:styleId="Header">
    <w:name w:val="Header"/>
    <w:basedOn w:val="Normal"/>
    <w:uiPriority w:val="99"/>
    <w:pPr>
      <w:tabs>
        <w:tab w:val="clear" w:pos="709"/>
        <w:tab w:val="center" w:pos="4536" w:leader="none"/>
        <w:tab w:val="right" w:pos="9072" w:leader="none"/>
      </w:tabs>
    </w:pPr>
    <w:rPr/>
  </w:style>
  <w:style w:type="paragraph" w:styleId="Footer">
    <w:name w:val="Footer"/>
    <w:basedOn w:val="Normal"/>
    <w:link w:val="FuzeileZchn"/>
    <w:uiPriority w:val="99"/>
    <w:pPr>
      <w:tabs>
        <w:tab w:val="clear" w:pos="709"/>
        <w:tab w:val="center" w:pos="4536" w:leader="none"/>
        <w:tab w:val="right" w:pos="9072" w:leader="none"/>
      </w:tabs>
    </w:pPr>
    <w:rPr/>
  </w:style>
  <w:style w:type="paragraph" w:styleId="Textkrper21" w:customStyle="1">
    <w:name w:val="Textkörper 21"/>
    <w:basedOn w:val="Normal"/>
    <w:qFormat/>
    <w:pPr/>
    <w:rPr>
      <w:rFonts w:ascii="Arial" w:hAnsi="Arial" w:cs="Arial"/>
      <w:b/>
      <w:bCs/>
      <w:kern w:val="2"/>
      <w:sz w:val="24"/>
    </w:rPr>
  </w:style>
  <w:style w:type="paragraph" w:styleId="WW-BodyText2" w:customStyle="1">
    <w:name w:val="WW-Body Text 2"/>
    <w:basedOn w:val="Normal"/>
    <w:qFormat/>
    <w:pPr>
      <w:ind w:hanging="284" w:left="284"/>
      <w:jc w:val="both"/>
    </w:pPr>
    <w:rPr>
      <w:rFonts w:ascii="Arial" w:hAnsi="Arial" w:cs="Arial"/>
      <w:kern w:val="2"/>
      <w:sz w:val="24"/>
    </w:rPr>
  </w:style>
  <w:style w:type="paragraph" w:styleId="Textkrper31" w:customStyle="1">
    <w:name w:val="Textkörper 31"/>
    <w:basedOn w:val="Normal"/>
    <w:qFormat/>
    <w:pPr>
      <w:ind w:right="-284"/>
      <w:jc w:val="both"/>
    </w:pPr>
    <w:rPr>
      <w:rFonts w:ascii="Arial" w:hAnsi="Arial" w:cs="Arial"/>
      <w:kern w:val="2"/>
      <w:sz w:val="24"/>
    </w:rPr>
  </w:style>
  <w:style w:type="paragraph" w:styleId="Textkrper-Einzug21" w:customStyle="1">
    <w:name w:val="Textkörper-Einzug 21"/>
    <w:basedOn w:val="Normal"/>
    <w:qFormat/>
    <w:pPr>
      <w:pBdr>
        <w:bottom w:val="single" w:sz="4" w:space="1" w:color="000000"/>
      </w:pBdr>
      <w:tabs>
        <w:tab w:val="clear" w:pos="709"/>
        <w:tab w:val="left" w:pos="1080" w:leader="none"/>
        <w:tab w:val="left" w:pos="2340" w:leader="none"/>
      </w:tabs>
      <w:ind w:hanging="360" w:left="360"/>
      <w:jc w:val="both"/>
    </w:pPr>
    <w:rPr>
      <w:rFonts w:ascii="Arial" w:hAnsi="Arial" w:cs="Arial"/>
      <w:b/>
      <w:bCs/>
      <w:sz w:val="24"/>
    </w:rPr>
  </w:style>
  <w:style w:type="paragraph" w:styleId="Textkrper-Einzug31" w:customStyle="1">
    <w:name w:val="Textkörper-Einzug 31"/>
    <w:basedOn w:val="Normal"/>
    <w:qFormat/>
    <w:pPr>
      <w:ind w:hanging="426" w:left="426"/>
      <w:jc w:val="both"/>
    </w:pPr>
    <w:rPr>
      <w:rFonts w:ascii="Arial" w:hAnsi="Arial" w:cs="Arial"/>
      <w:b/>
      <w:bCs/>
      <w:sz w:val="24"/>
    </w:rPr>
  </w:style>
  <w:style w:type="paragraph" w:styleId="Subtitle">
    <w:name w:val="Subtitle"/>
    <w:basedOn w:val="Normal"/>
    <w:next w:val="BodyText"/>
    <w:qFormat/>
    <w:pPr>
      <w:jc w:val="both"/>
    </w:pPr>
    <w:rPr>
      <w:rFonts w:ascii="Courier New" w:hAnsi="Courier New" w:cs="Courier New"/>
      <w:sz w:val="32"/>
    </w:rPr>
  </w:style>
  <w:style w:type="paragraph" w:styleId="Blocktext1" w:customStyle="1">
    <w:name w:val="Blocktext1"/>
    <w:basedOn w:val="Normal"/>
    <w:qFormat/>
    <w:pPr>
      <w:spacing w:before="0" w:after="120"/>
      <w:ind w:left="284" w:right="284"/>
      <w:jc w:val="both"/>
    </w:pPr>
    <w:rPr>
      <w:rFonts w:ascii="Comic Sans MS" w:hAnsi="Comic Sans MS" w:cs="Comic Sans MS"/>
      <w:szCs w:val="24"/>
    </w:rPr>
  </w:style>
  <w:style w:type="paragraph" w:styleId="BodyTextIndent">
    <w:name w:val="Body Text Indent"/>
    <w:basedOn w:val="Normal"/>
    <w:link w:val="Textkrper-ZeileneinzugZchn"/>
    <w:uiPriority w:val="99"/>
    <w:pPr>
      <w:tabs>
        <w:tab w:val="clear" w:pos="709"/>
        <w:tab w:val="left" w:pos="6180" w:leader="none"/>
      </w:tabs>
      <w:ind w:left="284"/>
      <w:jc w:val="both"/>
    </w:pPr>
    <w:rPr>
      <w:rFonts w:ascii="Arial" w:hAnsi="Arial" w:cs="Arial"/>
      <w:sz w:val="24"/>
    </w:rPr>
  </w:style>
  <w:style w:type="paragraph" w:styleId="TOC7">
    <w:name w:val="TOC 7"/>
    <w:basedOn w:val="Normal"/>
    <w:next w:val="Normal"/>
    <w:uiPriority w:val="99"/>
    <w:pPr>
      <w:ind w:left="1440"/>
    </w:pPr>
    <w:rPr>
      <w:sz w:val="24"/>
      <w:szCs w:val="24"/>
    </w:rPr>
  </w:style>
  <w:style w:type="paragraph" w:styleId="ListParagraph">
    <w:name w:val="List Paragraph"/>
    <w:basedOn w:val="Normal"/>
    <w:link w:val="ListenabsatzZchn"/>
    <w:uiPriority w:val="34"/>
    <w:qFormat/>
    <w:pPr>
      <w:ind w:left="708"/>
    </w:pPr>
    <w:rPr/>
  </w:style>
  <w:style w:type="paragraph" w:styleId="Textkrper32" w:customStyle="1">
    <w:name w:val="Textkörper 32"/>
    <w:basedOn w:val="Normal"/>
    <w:qFormat/>
    <w:pPr>
      <w:spacing w:before="0" w:after="120"/>
    </w:pPr>
    <w:rPr>
      <w:sz w:val="16"/>
      <w:szCs w:val="16"/>
    </w:rPr>
  </w:style>
  <w:style w:type="paragraph" w:styleId="BalloonText">
    <w:name w:val="Balloon Text"/>
    <w:basedOn w:val="Normal"/>
    <w:uiPriority w:val="99"/>
    <w:qFormat/>
    <w:pPr/>
    <w:rPr>
      <w:rFonts w:ascii="Tahoma" w:hAnsi="Tahoma" w:cs="Tahoma"/>
      <w:sz w:val="16"/>
      <w:szCs w:val="16"/>
      <w:lang w:val="x-none"/>
    </w:rPr>
  </w:style>
  <w:style w:type="paragraph" w:styleId="NormalWeb">
    <w:name w:val="Normal (Web)"/>
    <w:basedOn w:val="Normal"/>
    <w:uiPriority w:val="99"/>
    <w:qFormat/>
    <w:pPr>
      <w:spacing w:before="100" w:after="100"/>
    </w:pPr>
    <w:rPr>
      <w:sz w:val="24"/>
      <w:szCs w:val="24"/>
    </w:rPr>
  </w:style>
  <w:style w:type="paragraph" w:styleId="TxBrp1" w:customStyle="1">
    <w:name w:val="TxBr_p1"/>
    <w:basedOn w:val="Normal"/>
    <w:qFormat/>
    <w:pPr>
      <w:widowControl w:val="false"/>
      <w:tabs>
        <w:tab w:val="clear" w:pos="709"/>
        <w:tab w:val="left" w:pos="204" w:leader="none"/>
      </w:tabs>
      <w:spacing w:lineRule="atLeast" w:line="311"/>
    </w:pPr>
    <w:rPr>
      <w:lang w:val="en-US"/>
    </w:rPr>
  </w:style>
  <w:style w:type="paragraph" w:styleId="Standard1" w:customStyle="1">
    <w:name w:val="Standard1"/>
    <w:qFormat/>
    <w:pPr>
      <w:widowControl/>
      <w:suppressAutoHyphens w:val="true"/>
      <w:bidi w:val="0"/>
      <w:spacing w:before="0" w:after="0"/>
      <w:jc w:val="left"/>
    </w:pPr>
    <w:rPr>
      <w:rFonts w:eastAsia="ヒラギノ角ゴ Pro W3" w:ascii="Times New Roman" w:hAnsi="Times New Roman" w:cs="Times New Roman"/>
      <w:color w:val="000000"/>
      <w:kern w:val="0"/>
      <w:sz w:val="24"/>
      <w:szCs w:val="20"/>
      <w:lang w:eastAsia="ar-SA" w:val="de-DE" w:bidi="ar-SA"/>
    </w:rPr>
  </w:style>
  <w:style w:type="paragraph" w:styleId="Makrotext1" w:customStyle="1">
    <w:name w:val="Makrotext1"/>
    <w:qFormat/>
    <w:pPr>
      <w:widowControl/>
      <w:tabs>
        <w:tab w:val="clear" w:pos="709"/>
        <w:tab w:val="left" w:pos="480" w:leader="none"/>
        <w:tab w:val="left" w:pos="960" w:leader="none"/>
        <w:tab w:val="left" w:pos="1440" w:leader="none"/>
        <w:tab w:val="left" w:pos="1920" w:leader="none"/>
        <w:tab w:val="left" w:pos="2400" w:leader="none"/>
        <w:tab w:val="left" w:pos="2880" w:leader="none"/>
        <w:tab w:val="left" w:pos="3360" w:leader="none"/>
        <w:tab w:val="left" w:pos="3840" w:leader="none"/>
        <w:tab w:val="left" w:pos="4320" w:leader="none"/>
      </w:tabs>
      <w:suppressAutoHyphens w:val="true"/>
      <w:overflowPunct w:val="true"/>
      <w:bidi w:val="0"/>
      <w:spacing w:before="0" w:after="0"/>
      <w:jc w:val="left"/>
      <w:textAlignment w:val="baseline"/>
    </w:pPr>
    <w:rPr>
      <w:rFonts w:ascii="Arial" w:hAnsi="Arial" w:cs="Arial" w:eastAsia="Times New Roman"/>
      <w:color w:val="auto"/>
      <w:kern w:val="0"/>
      <w:sz w:val="20"/>
      <w:szCs w:val="20"/>
      <w:lang w:eastAsia="ar-SA" w:val="de-DE" w:bidi="ar-SA"/>
    </w:rPr>
  </w:style>
  <w:style w:type="paragraph" w:styleId="EinfacherAbsatz" w:customStyle="1">
    <w:name w:val="[Einfacher Absatz]"/>
    <w:basedOn w:val="Normal"/>
    <w:uiPriority w:val="99"/>
    <w:qFormat/>
    <w:pPr>
      <w:spacing w:lineRule="auto" w:line="288"/>
      <w:textAlignment w:val="center"/>
    </w:pPr>
    <w:rPr>
      <w:rFonts w:ascii="Calibri" w:hAnsi="Calibri" w:cs="Calibri"/>
      <w:color w:val="000000"/>
      <w:sz w:val="24"/>
      <w:szCs w:val="24"/>
    </w:rPr>
  </w:style>
  <w:style w:type="paragraph" w:styleId="Default" w:customStyle="1">
    <w:name w:val="Default"/>
    <w:uiPriority w:val="99"/>
    <w:qFormat/>
    <w:pPr>
      <w:widowControl/>
      <w:suppressAutoHyphens w:val="true"/>
      <w:bidi w:val="0"/>
      <w:spacing w:before="0" w:after="0"/>
      <w:jc w:val="left"/>
    </w:pPr>
    <w:rPr>
      <w:rFonts w:ascii="Univers" w:hAnsi="Univers" w:eastAsia="Calibri" w:cs="Univers"/>
      <w:color w:val="000000"/>
      <w:kern w:val="0"/>
      <w:sz w:val="24"/>
      <w:szCs w:val="24"/>
      <w:lang w:eastAsia="ar-SA" w:val="de-DE" w:bidi="ar-SA"/>
    </w:rPr>
  </w:style>
  <w:style w:type="paragraph" w:styleId="Bodytext1" w:customStyle="1">
    <w:name w:val="bodytext"/>
    <w:basedOn w:val="Normal"/>
    <w:qFormat/>
    <w:pPr>
      <w:spacing w:before="100" w:after="100"/>
    </w:pPr>
    <w:rPr>
      <w:sz w:val="24"/>
      <w:szCs w:val="24"/>
    </w:rPr>
  </w:style>
  <w:style w:type="paragraph" w:styleId="NoSpacing">
    <w:name w:val="No Spacing"/>
    <w:uiPriority w:val="1"/>
    <w:qFormat/>
    <w:pPr>
      <w:widowControl/>
      <w:suppressAutoHyphens w:val="true"/>
      <w:bidi w:val="0"/>
      <w:spacing w:before="0" w:after="0"/>
      <w:jc w:val="left"/>
    </w:pPr>
    <w:rPr>
      <w:rFonts w:ascii="Calibri" w:hAnsi="Calibri" w:eastAsia="Calibri" w:cs="Calibri"/>
      <w:color w:val="auto"/>
      <w:kern w:val="0"/>
      <w:sz w:val="22"/>
      <w:szCs w:val="22"/>
      <w:lang w:eastAsia="ar-SA" w:val="de-DE" w:bidi="ar-SA"/>
    </w:rPr>
  </w:style>
  <w:style w:type="paragraph" w:styleId="Anrede1" w:customStyle="1">
    <w:name w:val="Anrede1"/>
    <w:basedOn w:val="Normal"/>
    <w:next w:val="Normal"/>
    <w:qFormat/>
    <w:pPr>
      <w:spacing w:before="0" w:after="240"/>
    </w:pPr>
    <w:rPr>
      <w:rFonts w:ascii="Calibri" w:hAnsi="Calibri" w:cs="Calibri"/>
      <w:sz w:val="24"/>
    </w:rPr>
  </w:style>
  <w:style w:type="paragraph" w:styleId="Rahmeninhalt" w:customStyle="1">
    <w:name w:val="Rahmeninhalt"/>
    <w:basedOn w:val="BodyText"/>
    <w:qFormat/>
    <w:pPr/>
    <w:rPr/>
  </w:style>
  <w:style w:type="paragraph" w:styleId="TabellenInhalt" w:customStyle="1">
    <w:name w:val="Tabellen Inhalt"/>
    <w:basedOn w:val="Normal"/>
    <w:qFormat/>
    <w:pPr>
      <w:suppressLineNumbers/>
    </w:pPr>
    <w:rPr/>
  </w:style>
  <w:style w:type="paragraph" w:styleId="Tabellenberschrift" w:customStyle="1">
    <w:name w:val="Tabellen Überschrift"/>
    <w:basedOn w:val="TabellenInhalt"/>
    <w:qFormat/>
    <w:pPr>
      <w:jc w:val="center"/>
    </w:pPr>
    <w:rPr>
      <w:b/>
      <w:bCs/>
    </w:rPr>
  </w:style>
  <w:style w:type="paragraph" w:styleId="Standard3" w:customStyle="1">
    <w:name w:val="Standard3"/>
    <w:basedOn w:val="Standard2"/>
    <w:qFormat/>
    <w:rsid w:val="00f131fe"/>
    <w:pPr>
      <w:spacing w:before="0" w:after="120"/>
    </w:pPr>
    <w:rPr>
      <w:u w:val="single"/>
    </w:rPr>
  </w:style>
  <w:style w:type="paragraph" w:styleId="Standard2" w:customStyle="1">
    <w:name w:val="Standard2"/>
    <w:basedOn w:val="Normal"/>
    <w:qFormat/>
    <w:rsid w:val="00f131fe"/>
    <w:pPr>
      <w:suppressAutoHyphens w:val="false"/>
      <w:ind w:left="7598"/>
      <w:jc w:val="both"/>
    </w:pPr>
    <w:rPr>
      <w:rFonts w:ascii="Arial" w:hAnsi="Arial"/>
      <w:sz w:val="22"/>
      <w:lang w:eastAsia="de-DE"/>
    </w:rPr>
  </w:style>
  <w:style w:type="paragraph" w:styleId="FootnoteText">
    <w:name w:val="Footnote Text"/>
    <w:basedOn w:val="Normal"/>
    <w:link w:val="FunotentextZchn"/>
    <w:uiPriority w:val="99"/>
    <w:semiHidden/>
    <w:rsid w:val="00f131fe"/>
    <w:pPr>
      <w:suppressAutoHyphens w:val="false"/>
      <w:ind w:hanging="907" w:left="907"/>
      <w:jc w:val="both"/>
    </w:pPr>
    <w:rPr>
      <w:rFonts w:ascii="Arial" w:hAnsi="Arial"/>
      <w:sz w:val="18"/>
      <w:lang w:eastAsia="de-DE"/>
    </w:rPr>
  </w:style>
  <w:style w:type="paragraph" w:styleId="TxBrp3" w:customStyle="1">
    <w:name w:val="TxBr_p3"/>
    <w:basedOn w:val="Normal"/>
    <w:qFormat/>
    <w:rsid w:val="00f131fe"/>
    <w:pPr>
      <w:widowControl w:val="false"/>
      <w:tabs>
        <w:tab w:val="clear" w:pos="709"/>
        <w:tab w:val="left" w:pos="204" w:leader="none"/>
      </w:tabs>
      <w:suppressAutoHyphens w:val="false"/>
      <w:spacing w:lineRule="atLeast" w:line="311"/>
      <w:jc w:val="both"/>
    </w:pPr>
    <w:rPr>
      <w:lang w:val="en-US" w:eastAsia="de-DE"/>
    </w:rPr>
  </w:style>
  <w:style w:type="paragraph" w:styleId="TxBrp4" w:customStyle="1">
    <w:name w:val="TxBr_p4"/>
    <w:basedOn w:val="Normal"/>
    <w:qFormat/>
    <w:rsid w:val="00f131fe"/>
    <w:pPr>
      <w:widowControl w:val="false"/>
      <w:tabs>
        <w:tab w:val="clear" w:pos="709"/>
        <w:tab w:val="left" w:pos="204" w:leader="none"/>
      </w:tabs>
      <w:suppressAutoHyphens w:val="false"/>
      <w:spacing w:lineRule="atLeast" w:line="311"/>
      <w:jc w:val="both"/>
    </w:pPr>
    <w:rPr>
      <w:lang w:val="en-US" w:eastAsia="de-DE"/>
    </w:rPr>
  </w:style>
  <w:style w:type="paragraph" w:styleId="1" w:customStyle="1">
    <w:name w:val="1"/>
    <w:basedOn w:val="Normal"/>
    <w:qFormat/>
    <w:rsid w:val="00f131fe"/>
    <w:pPr>
      <w:suppressAutoHyphens w:val="false"/>
      <w:jc w:val="both"/>
    </w:pPr>
    <w:rPr>
      <w:rFonts w:ascii="Tms Rmn" w:hAnsi="Tms Rmn"/>
      <w:lang w:eastAsia="de-DE"/>
    </w:rPr>
  </w:style>
  <w:style w:type="paragraph" w:styleId="BodyTextIndent2">
    <w:name w:val="Body Text Indent 2"/>
    <w:basedOn w:val="Normal"/>
    <w:link w:val="Textkrper-Einzug2Zchn"/>
    <w:uiPriority w:val="99"/>
    <w:qFormat/>
    <w:rsid w:val="00f131fe"/>
    <w:pPr>
      <w:tabs>
        <w:tab w:val="clear" w:pos="709"/>
        <w:tab w:val="left" w:pos="496" w:leader="none"/>
      </w:tabs>
      <w:suppressAutoHyphens w:val="false"/>
      <w:ind w:hanging="496" w:left="496"/>
      <w:jc w:val="both"/>
    </w:pPr>
    <w:rPr>
      <w:rFonts w:ascii="Arial" w:hAnsi="Arial"/>
      <w:bCs/>
      <w:sz w:val="22"/>
      <w:lang w:eastAsia="de-DE"/>
    </w:rPr>
  </w:style>
  <w:style w:type="paragraph" w:styleId="BodyTextIndent3">
    <w:name w:val="Body Text Indent 3"/>
    <w:basedOn w:val="Normal"/>
    <w:link w:val="Textkrper-Einzug3Zchn"/>
    <w:uiPriority w:val="99"/>
    <w:qFormat/>
    <w:rsid w:val="00f131fe"/>
    <w:pPr>
      <w:tabs>
        <w:tab w:val="clear" w:pos="709"/>
        <w:tab w:val="left" w:pos="432" w:leader="none"/>
        <w:tab w:val="left" w:pos="1152" w:leader="none"/>
      </w:tabs>
      <w:suppressAutoHyphens w:val="false"/>
      <w:ind w:hanging="1152" w:left="1152"/>
      <w:jc w:val="both"/>
    </w:pPr>
    <w:rPr>
      <w:rFonts w:ascii="Arial" w:hAnsi="Arial"/>
      <w:bCs/>
      <w:sz w:val="22"/>
      <w:lang w:eastAsia="de-DE"/>
    </w:rPr>
  </w:style>
  <w:style w:type="paragraph" w:styleId="BodyText2">
    <w:name w:val="Body Text 2"/>
    <w:basedOn w:val="Normal"/>
    <w:link w:val="Textkrper2Zchn1"/>
    <w:uiPriority w:val="99"/>
    <w:qFormat/>
    <w:rsid w:val="00f131fe"/>
    <w:pPr>
      <w:suppressAutoHyphens w:val="false"/>
      <w:jc w:val="both"/>
    </w:pPr>
    <w:rPr>
      <w:rFonts w:ascii="Arial" w:hAnsi="Arial"/>
      <w:bCs/>
      <w:sz w:val="22"/>
      <w:u w:val="single"/>
      <w:lang w:eastAsia="de-DE"/>
    </w:rPr>
  </w:style>
  <w:style w:type="paragraph" w:styleId="Paragraph" w:customStyle="1">
    <w:name w:val="Paragraph"/>
    <w:basedOn w:val="Normal"/>
    <w:qFormat/>
    <w:rsid w:val="00f131fe"/>
    <w:pPr>
      <w:tabs>
        <w:tab w:val="clear" w:pos="709"/>
        <w:tab w:val="left" w:pos="720" w:leader="none"/>
      </w:tabs>
      <w:suppressAutoHyphens w:val="false"/>
      <w:spacing w:before="120" w:after="0"/>
      <w:ind w:left="851"/>
      <w:jc w:val="both"/>
    </w:pPr>
    <w:rPr>
      <w:rFonts w:ascii="Arial" w:hAnsi="Arial"/>
      <w:sz w:val="22"/>
      <w:lang w:eastAsia="de-DE"/>
    </w:rPr>
  </w:style>
  <w:style w:type="paragraph" w:styleId="BodyText3">
    <w:name w:val="Body Text 3"/>
    <w:basedOn w:val="Normal"/>
    <w:link w:val="Textkrper3Zchn1"/>
    <w:uiPriority w:val="99"/>
    <w:qFormat/>
    <w:rsid w:val="00f131fe"/>
    <w:pPr>
      <w:suppressAutoHyphens w:val="false"/>
      <w:jc w:val="both"/>
    </w:pPr>
    <w:rPr>
      <w:rFonts w:ascii="Arial" w:hAnsi="Arial"/>
      <w:sz w:val="22"/>
      <w:szCs w:val="24"/>
      <w:lang w:eastAsia="de-DE"/>
    </w:rPr>
  </w:style>
  <w:style w:type="paragraph" w:styleId="Kopfzeile1" w:customStyle="1">
    <w:name w:val="Kopfzeile1"/>
    <w:basedOn w:val="Header"/>
    <w:qFormat/>
    <w:rsid w:val="00f131fe"/>
    <w:pPr>
      <w:tabs>
        <w:tab w:val="clear" w:pos="4536"/>
        <w:tab w:val="clear" w:pos="9072"/>
      </w:tabs>
      <w:suppressAutoHyphens w:val="false"/>
      <w:spacing w:before="120" w:after="0"/>
      <w:jc w:val="both"/>
    </w:pPr>
    <w:rPr>
      <w:rFonts w:ascii="Arial" w:hAnsi="Arial"/>
      <w:b/>
      <w:kern w:val="2"/>
      <w:sz w:val="22"/>
      <w:lang w:eastAsia="de-DE"/>
    </w:rPr>
  </w:style>
  <w:style w:type="paragraph" w:styleId="BlockText">
    <w:name w:val="Block Text"/>
    <w:basedOn w:val="Normal"/>
    <w:uiPriority w:val="99"/>
    <w:qFormat/>
    <w:rsid w:val="00f131fe"/>
    <w:pPr>
      <w:tabs>
        <w:tab w:val="left" w:pos="709" w:leader="none"/>
      </w:tabs>
      <w:suppressAutoHyphens w:val="false"/>
      <w:spacing w:before="180" w:after="0"/>
      <w:ind w:hanging="709" w:left="720" w:right="136"/>
      <w:jc w:val="both"/>
    </w:pPr>
    <w:rPr>
      <w:rFonts w:ascii="Arial" w:hAnsi="Arial"/>
      <w:sz w:val="22"/>
      <w:lang w:eastAsia="de-DE"/>
    </w:rPr>
  </w:style>
  <w:style w:type="paragraph" w:styleId="Berschrift1berschrift1TB" w:customStyle="1">
    <w:name w:val="Überschrift 1.Überschrift 1 TÖB"/>
    <w:basedOn w:val="Normal"/>
    <w:next w:val="Normal"/>
    <w:qFormat/>
    <w:rsid w:val="00f131fe"/>
    <w:pPr>
      <w:suppressAutoHyphens w:val="false"/>
      <w:spacing w:lineRule="atLeast" w:line="312" w:before="240" w:after="0"/>
      <w:ind w:hanging="851" w:left="851"/>
      <w:jc w:val="both"/>
    </w:pPr>
    <w:rPr>
      <w:rFonts w:ascii="Arial" w:hAnsi="Arial"/>
      <w:b/>
      <w:bCs/>
      <w:caps/>
      <w:sz w:val="32"/>
      <w:szCs w:val="32"/>
      <w:lang w:eastAsia="de-DE"/>
    </w:rPr>
  </w:style>
  <w:style w:type="paragraph" w:styleId="Berschrift2berschrift2Brger" w:customStyle="1">
    <w:name w:val="Überschrift 2.Überschrift 2 Bürger"/>
    <w:basedOn w:val="Normal"/>
    <w:next w:val="Normal"/>
    <w:qFormat/>
    <w:rsid w:val="00f131fe"/>
    <w:pPr>
      <w:suppressAutoHyphens w:val="false"/>
      <w:spacing w:lineRule="atLeast" w:line="312" w:before="240" w:after="0"/>
      <w:ind w:hanging="851" w:left="851"/>
      <w:jc w:val="both"/>
    </w:pPr>
    <w:rPr>
      <w:rFonts w:ascii="Arial" w:hAnsi="Arial"/>
      <w:b/>
      <w:bCs/>
      <w:caps/>
      <w:sz w:val="28"/>
      <w:szCs w:val="28"/>
      <w:lang w:eastAsia="de-DE"/>
    </w:rPr>
  </w:style>
  <w:style w:type="paragraph" w:styleId="FormatvorlageTextkrper11ptNichtFettBlockRechts024cmVor" w:customStyle="1">
    <w:name w:val="Formatvorlage Textkörper + 11 pt Nicht Fett Block Rechts:  024 cm Vor:..."/>
    <w:basedOn w:val="BodyText"/>
    <w:qFormat/>
    <w:rsid w:val="00f131fe"/>
    <w:pPr>
      <w:suppressAutoHyphens w:val="false"/>
      <w:ind w:right="136"/>
    </w:pPr>
    <w:rPr>
      <w:rFonts w:ascii="Arial" w:hAnsi="Arial" w:cs="Times New Roman"/>
      <w:sz w:val="22"/>
      <w:lang w:val="de-DE" w:eastAsia="de-DE"/>
    </w:rPr>
  </w:style>
  <w:style w:type="paragraph" w:styleId="FormatvorlageKopfzeileFett" w:customStyle="1">
    <w:name w:val="Formatvorlage Kopfzeile + Fett"/>
    <w:basedOn w:val="Header"/>
    <w:qFormat/>
    <w:rsid w:val="00f131fe"/>
    <w:pPr>
      <w:suppressAutoHyphens w:val="false"/>
      <w:jc w:val="both"/>
    </w:pPr>
    <w:rPr>
      <w:rFonts w:ascii="Arial" w:hAnsi="Arial"/>
      <w:b/>
      <w:bCs/>
      <w:sz w:val="22"/>
      <w:lang w:eastAsia="de-DE"/>
    </w:rPr>
  </w:style>
  <w:style w:type="paragraph" w:styleId="FormatvorlageKopfzeileFettUnterschneidungab14pt" w:customStyle="1">
    <w:name w:val="Formatvorlage Kopfzeile + Fett Unterschneidung ab 14 pt"/>
    <w:basedOn w:val="Header"/>
    <w:qFormat/>
    <w:rsid w:val="00f131fe"/>
    <w:pPr>
      <w:suppressAutoHyphens w:val="false"/>
      <w:jc w:val="both"/>
    </w:pPr>
    <w:rPr>
      <w:rFonts w:ascii="Arial" w:hAnsi="Arial"/>
      <w:b/>
      <w:bCs/>
      <w:kern w:val="2"/>
      <w:sz w:val="22"/>
      <w:lang w:eastAsia="de-DE"/>
    </w:rPr>
  </w:style>
  <w:style w:type="paragraph" w:styleId="Formatvorlage16ptFettZentriertRechts-012cm" w:customStyle="1">
    <w:name w:val="Formatvorlage 16 pt Fett Zentriert Rechts:  -012 cm"/>
    <w:basedOn w:val="Normal"/>
    <w:qFormat/>
    <w:rsid w:val="00f131fe"/>
    <w:pPr>
      <w:suppressAutoHyphens w:val="false"/>
      <w:ind w:right="-70"/>
      <w:jc w:val="center"/>
    </w:pPr>
    <w:rPr>
      <w:rFonts w:ascii="Arial" w:hAnsi="Arial"/>
      <w:b/>
      <w:bCs/>
      <w:sz w:val="32"/>
      <w:lang w:eastAsia="de-DE"/>
    </w:rPr>
  </w:style>
  <w:style w:type="paragraph" w:styleId="FormatvorlageFlietextUnterstrichen" w:customStyle="1">
    <w:name w:val="Formatvorlage Fließtext + Unterstrichen"/>
    <w:basedOn w:val="BodyText"/>
    <w:qFormat/>
    <w:rsid w:val="00f131fe"/>
    <w:pPr/>
    <w:rPr>
      <w:rFonts w:ascii="Arial" w:hAnsi="Arial"/>
      <w:u w:val="single"/>
    </w:rPr>
  </w:style>
  <w:style w:type="paragraph" w:styleId="FormatvorlageVor3pt" w:customStyle="1">
    <w:name w:val="Formatvorlage Vor:  3 pt"/>
    <w:basedOn w:val="Normal"/>
    <w:qFormat/>
    <w:rsid w:val="00f131fe"/>
    <w:pPr>
      <w:suppressAutoHyphens w:val="false"/>
      <w:spacing w:before="60" w:after="0"/>
      <w:jc w:val="both"/>
    </w:pPr>
    <w:rPr>
      <w:rFonts w:ascii="Arial" w:hAnsi="Arial"/>
      <w:sz w:val="22"/>
      <w:lang w:eastAsia="de-DE"/>
    </w:rPr>
  </w:style>
  <w:style w:type="paragraph" w:styleId="FormatvorlageKopfzeileUnterschneidungab14pt" w:customStyle="1">
    <w:name w:val="Formatvorlage Kopfzeile + Unterschneidung ab 14 pt"/>
    <w:basedOn w:val="Header"/>
    <w:qFormat/>
    <w:rsid w:val="00f131fe"/>
    <w:pPr>
      <w:suppressAutoHyphens w:val="false"/>
      <w:jc w:val="both"/>
    </w:pPr>
    <w:rPr>
      <w:rFonts w:ascii="Arial" w:hAnsi="Arial"/>
      <w:kern w:val="2"/>
      <w:sz w:val="22"/>
      <w:lang w:eastAsia="de-DE"/>
    </w:rPr>
  </w:style>
  <w:style w:type="paragraph" w:styleId="FormatvorlageStandard210ptLinks0cm" w:customStyle="1">
    <w:name w:val="Formatvorlage Standard2 + 10 pt Links:  0 cm"/>
    <w:basedOn w:val="Standard2"/>
    <w:qFormat/>
    <w:rsid w:val="00f131fe"/>
    <w:pPr>
      <w:ind w:left="0"/>
    </w:pPr>
    <w:rPr>
      <w:sz w:val="20"/>
    </w:rPr>
  </w:style>
  <w:style w:type="paragraph" w:styleId="FormatvorlageTextkrper11ptNichtFett" w:customStyle="1">
    <w:name w:val="Formatvorlage Textkörper + 11 pt Nicht Fett"/>
    <w:basedOn w:val="BodyText"/>
    <w:qFormat/>
    <w:rsid w:val="00f131fe"/>
    <w:pPr>
      <w:suppressAutoHyphens w:val="false"/>
      <w:spacing w:lineRule="exact" w:line="300" w:before="120" w:after="0"/>
      <w:jc w:val="center"/>
    </w:pPr>
    <w:rPr>
      <w:rFonts w:ascii="Arial" w:hAnsi="Arial" w:cs="Times New Roman"/>
      <w:sz w:val="22"/>
      <w:lang w:val="de-DE" w:eastAsia="de-DE"/>
    </w:rPr>
  </w:style>
  <w:style w:type="paragraph" w:styleId="FormatvorlageStandard1Vor12pt" w:customStyle="1">
    <w:name w:val="Formatvorlage Standard1 + Vor:  12 pt"/>
    <w:basedOn w:val="Standard1"/>
    <w:qFormat/>
    <w:rsid w:val="00f131fe"/>
    <w:pPr>
      <w:suppressAutoHyphens w:val="false"/>
      <w:spacing w:before="120" w:after="0"/>
      <w:jc w:val="both"/>
    </w:pPr>
    <w:rPr>
      <w:rFonts w:ascii="Arial" w:hAnsi="Arial" w:eastAsia="Times New Roman"/>
      <w:b/>
      <w:bCs/>
      <w:color w:val="auto"/>
      <w:sz w:val="22"/>
      <w:lang w:eastAsia="de-DE"/>
    </w:rPr>
  </w:style>
  <w:style w:type="paragraph" w:styleId="StandardkleinAufzhlung" w:customStyle="1">
    <w:name w:val="Standard klein Aufzählung"/>
    <w:basedOn w:val="Normal"/>
    <w:qFormat/>
    <w:rsid w:val="00f131fe"/>
    <w:pPr>
      <w:widowControl w:val="false"/>
      <w:tabs>
        <w:tab w:val="clear" w:pos="709"/>
        <w:tab w:val="left" w:pos="360" w:leader="none"/>
      </w:tabs>
      <w:suppressAutoHyphens w:val="false"/>
      <w:spacing w:before="120" w:after="0"/>
      <w:ind w:hanging="360" w:left="360"/>
      <w:jc w:val="both"/>
    </w:pPr>
    <w:rPr>
      <w:rFonts w:ascii="Arial" w:hAnsi="Arial"/>
      <w:bCs/>
      <w:sz w:val="24"/>
      <w:lang w:eastAsia="de-DE"/>
    </w:rPr>
  </w:style>
  <w:style w:type="paragraph" w:styleId="Artenliste" w:customStyle="1">
    <w:name w:val="Artenliste"/>
    <w:basedOn w:val="Normal"/>
    <w:qFormat/>
    <w:rsid w:val="00f131fe"/>
    <w:pPr>
      <w:tabs>
        <w:tab w:val="clear" w:pos="709"/>
        <w:tab w:val="left" w:pos="4253" w:leader="none"/>
        <w:tab w:val="left" w:pos="5103" w:leader="none"/>
      </w:tabs>
      <w:suppressAutoHyphens w:val="false"/>
      <w:spacing w:before="0" w:after="120"/>
      <w:ind w:left="1418"/>
      <w:jc w:val="both"/>
    </w:pPr>
    <w:rPr>
      <w:rFonts w:ascii="Arial" w:hAnsi="Arial"/>
      <w:sz w:val="22"/>
      <w:lang w:eastAsia="de-DE"/>
    </w:rPr>
  </w:style>
  <w:style w:type="paragraph" w:styleId="OmniPage5" w:customStyle="1">
    <w:name w:val="OmniPage #5"/>
    <w:basedOn w:val="Normal"/>
    <w:qFormat/>
    <w:rsid w:val="00f131fe"/>
    <w:pPr>
      <w:suppressAutoHyphens w:val="false"/>
      <w:overflowPunct w:val="true"/>
      <w:ind w:left="2235" w:right="1387"/>
      <w:textAlignment w:val="baseline"/>
    </w:pPr>
    <w:rPr>
      <w:rFonts w:ascii="Arial" w:hAnsi="Arial"/>
      <w:lang w:eastAsia="de-DE"/>
    </w:rPr>
  </w:style>
  <w:style w:type="paragraph" w:styleId="OmniPage258" w:customStyle="1">
    <w:name w:val="OmniPage #258"/>
    <w:basedOn w:val="Normal"/>
    <w:qFormat/>
    <w:rsid w:val="00f131fe"/>
    <w:pPr>
      <w:suppressAutoHyphens w:val="false"/>
      <w:overflowPunct w:val="true"/>
      <w:ind w:left="1920"/>
      <w:textAlignment w:val="baseline"/>
    </w:pPr>
    <w:rPr>
      <w:rFonts w:ascii="Arial" w:hAnsi="Arial"/>
      <w:lang w:eastAsia="de-DE"/>
    </w:rPr>
  </w:style>
  <w:style w:type="paragraph" w:styleId="OmniPage1555" w:customStyle="1">
    <w:name w:val="OmniPage #1555"/>
    <w:basedOn w:val="Normal"/>
    <w:qFormat/>
    <w:rsid w:val="00f131fe"/>
    <w:pPr>
      <w:tabs>
        <w:tab w:val="clear" w:pos="709"/>
        <w:tab w:val="right" w:pos="9521" w:leader="none"/>
      </w:tabs>
      <w:suppressAutoHyphens w:val="false"/>
      <w:overflowPunct w:val="true"/>
      <w:spacing w:lineRule="atLeast" w:line="268"/>
      <w:ind w:left="50" w:right="50"/>
    </w:pPr>
    <w:rPr>
      <w:rFonts w:ascii="Arial" w:hAnsi="Arial"/>
      <w:lang w:eastAsia="de-DE"/>
    </w:rPr>
  </w:style>
  <w:style w:type="paragraph" w:styleId="OmniPage1556" w:customStyle="1">
    <w:name w:val="OmniPage #1556"/>
    <w:basedOn w:val="Normal"/>
    <w:qFormat/>
    <w:rsid w:val="00f131fe"/>
    <w:pPr>
      <w:suppressAutoHyphens w:val="false"/>
      <w:overflowPunct w:val="true"/>
      <w:spacing w:lineRule="atLeast" w:line="269"/>
      <w:ind w:left="50" w:right="50"/>
    </w:pPr>
    <w:rPr>
      <w:rFonts w:ascii="Arial" w:hAnsi="Arial"/>
      <w:lang w:eastAsia="de-DE"/>
    </w:rPr>
  </w:style>
  <w:style w:type="paragraph" w:styleId="OmniPage1557" w:customStyle="1">
    <w:name w:val="OmniPage #1557"/>
    <w:basedOn w:val="Normal"/>
    <w:qFormat/>
    <w:rsid w:val="00f131fe"/>
    <w:pPr>
      <w:suppressAutoHyphens w:val="false"/>
      <w:overflowPunct w:val="true"/>
      <w:spacing w:lineRule="atLeast" w:line="268"/>
      <w:ind w:left="50" w:right="50"/>
    </w:pPr>
    <w:rPr>
      <w:rFonts w:ascii="Arial" w:hAnsi="Arial"/>
      <w:lang w:eastAsia="de-DE"/>
    </w:rPr>
  </w:style>
  <w:style w:type="paragraph" w:styleId="OmniPage1801" w:customStyle="1">
    <w:name w:val="OmniPage #1801"/>
    <w:basedOn w:val="Normal"/>
    <w:qFormat/>
    <w:rsid w:val="00f131fe"/>
    <w:pPr>
      <w:suppressAutoHyphens w:val="false"/>
      <w:overflowPunct w:val="true"/>
      <w:spacing w:lineRule="atLeast" w:line="254"/>
      <w:ind w:left="50" w:right="1464"/>
    </w:pPr>
    <w:rPr>
      <w:rFonts w:ascii="Arial" w:hAnsi="Arial"/>
      <w:lang w:eastAsia="de-DE"/>
    </w:rPr>
  </w:style>
  <w:style w:type="paragraph" w:styleId="OmniPage1802" w:customStyle="1">
    <w:name w:val="OmniPage #1802"/>
    <w:basedOn w:val="Normal"/>
    <w:qFormat/>
    <w:rsid w:val="00f131fe"/>
    <w:pPr>
      <w:tabs>
        <w:tab w:val="clear" w:pos="709"/>
        <w:tab w:val="left" w:pos="5703" w:leader="none"/>
        <w:tab w:val="left" w:pos="6658" w:leader="none"/>
        <w:tab w:val="right" w:pos="7849" w:leader="none"/>
      </w:tabs>
      <w:suppressAutoHyphens w:val="false"/>
      <w:overflowPunct w:val="true"/>
      <w:spacing w:lineRule="atLeast" w:line="264"/>
      <w:ind w:left="53" w:right="199"/>
    </w:pPr>
    <w:rPr>
      <w:rFonts w:ascii="Arial" w:hAnsi="Arial"/>
      <w:lang w:eastAsia="de-DE"/>
    </w:rPr>
  </w:style>
  <w:style w:type="paragraph" w:styleId="OmniPage1804" w:customStyle="1">
    <w:name w:val="OmniPage #1804"/>
    <w:basedOn w:val="Normal"/>
    <w:qFormat/>
    <w:rsid w:val="00f131fe"/>
    <w:pPr>
      <w:suppressAutoHyphens w:val="false"/>
      <w:overflowPunct w:val="true"/>
      <w:spacing w:lineRule="atLeast" w:line="246"/>
      <w:ind w:left="50" w:right="50"/>
    </w:pPr>
    <w:rPr>
      <w:rFonts w:ascii="Arial" w:hAnsi="Arial"/>
      <w:lang w:eastAsia="de-DE"/>
    </w:rPr>
  </w:style>
  <w:style w:type="paragraph" w:styleId="OmniPage2050" w:customStyle="1">
    <w:name w:val="OmniPage #2050"/>
    <w:basedOn w:val="Normal"/>
    <w:qFormat/>
    <w:rsid w:val="00f131fe"/>
    <w:pPr>
      <w:tabs>
        <w:tab w:val="clear" w:pos="709"/>
        <w:tab w:val="right" w:pos="3307" w:leader="none"/>
      </w:tabs>
      <w:suppressAutoHyphens w:val="false"/>
      <w:overflowPunct w:val="true"/>
      <w:spacing w:lineRule="atLeast" w:line="246"/>
      <w:ind w:left="50" w:right="50"/>
    </w:pPr>
    <w:rPr>
      <w:rFonts w:ascii="Arial" w:hAnsi="Arial"/>
      <w:lang w:eastAsia="de-DE"/>
    </w:rPr>
  </w:style>
  <w:style w:type="paragraph" w:styleId="OmniPage531" w:customStyle="1">
    <w:name w:val="OmniPage #531"/>
    <w:basedOn w:val="Normal"/>
    <w:qFormat/>
    <w:rsid w:val="00f131fe"/>
    <w:pPr>
      <w:tabs>
        <w:tab w:val="clear" w:pos="709"/>
        <w:tab w:val="left" w:pos="8835" w:leader="none"/>
        <w:tab w:val="right" w:pos="9389" w:leader="none"/>
      </w:tabs>
      <w:suppressAutoHyphens w:val="false"/>
      <w:overflowPunct w:val="true"/>
      <w:spacing w:lineRule="atLeast" w:line="255"/>
      <w:ind w:left="60" w:right="45"/>
    </w:pPr>
    <w:rPr>
      <w:rFonts w:ascii="Arial" w:hAnsi="Arial"/>
      <w:lang w:eastAsia="de-DE"/>
    </w:rPr>
  </w:style>
  <w:style w:type="paragraph" w:styleId="OmniPage532" w:customStyle="1">
    <w:name w:val="OmniPage #532"/>
    <w:basedOn w:val="Normal"/>
    <w:qFormat/>
    <w:rsid w:val="00f131fe"/>
    <w:pPr>
      <w:suppressAutoHyphens w:val="false"/>
      <w:overflowPunct w:val="true"/>
      <w:spacing w:lineRule="atLeast" w:line="240"/>
      <w:ind w:left="60" w:right="240"/>
    </w:pPr>
    <w:rPr>
      <w:rFonts w:ascii="Arial" w:hAnsi="Arial"/>
      <w:lang w:eastAsia="de-DE"/>
    </w:rPr>
  </w:style>
  <w:style w:type="paragraph" w:styleId="OmniPage535" w:customStyle="1">
    <w:name w:val="OmniPage #535"/>
    <w:basedOn w:val="Normal"/>
    <w:qFormat/>
    <w:rsid w:val="00f131fe"/>
    <w:pPr>
      <w:suppressAutoHyphens w:val="false"/>
      <w:overflowPunct w:val="true"/>
      <w:spacing w:lineRule="atLeast" w:line="240"/>
      <w:ind w:right="60"/>
    </w:pPr>
    <w:rPr>
      <w:rFonts w:ascii="Arial" w:hAnsi="Arial"/>
      <w:lang w:eastAsia="de-DE"/>
    </w:rPr>
  </w:style>
  <w:style w:type="paragraph" w:styleId="OmniPage536" w:customStyle="1">
    <w:name w:val="OmniPage #536"/>
    <w:basedOn w:val="Normal"/>
    <w:qFormat/>
    <w:rsid w:val="00f131fe"/>
    <w:pPr>
      <w:suppressAutoHyphens w:val="false"/>
      <w:overflowPunct w:val="true"/>
      <w:spacing w:lineRule="atLeast" w:line="240"/>
      <w:ind w:right="285"/>
    </w:pPr>
    <w:rPr>
      <w:rFonts w:ascii="Arial" w:hAnsi="Arial"/>
      <w:lang w:eastAsia="de-DE"/>
    </w:rPr>
  </w:style>
  <w:style w:type="paragraph" w:styleId="OmniPage776" w:customStyle="1">
    <w:name w:val="OmniPage #776"/>
    <w:basedOn w:val="Normal"/>
    <w:qFormat/>
    <w:rsid w:val="00f131fe"/>
    <w:pPr>
      <w:suppressAutoHyphens w:val="false"/>
      <w:overflowPunct w:val="true"/>
      <w:spacing w:lineRule="atLeast" w:line="254"/>
      <w:ind w:firstLine="7540" w:left="50" w:right="50"/>
    </w:pPr>
    <w:rPr>
      <w:rFonts w:ascii="Arial" w:hAnsi="Arial"/>
      <w:lang w:eastAsia="de-DE"/>
    </w:rPr>
  </w:style>
  <w:style w:type="paragraph" w:styleId="OmniPage777" w:customStyle="1">
    <w:name w:val="OmniPage #777"/>
    <w:basedOn w:val="Normal"/>
    <w:qFormat/>
    <w:rsid w:val="00f131fe"/>
    <w:pPr>
      <w:tabs>
        <w:tab w:val="clear" w:pos="709"/>
        <w:tab w:val="right" w:pos="9528" w:leader="none"/>
      </w:tabs>
      <w:suppressAutoHyphens w:val="false"/>
      <w:overflowPunct w:val="true"/>
      <w:spacing w:lineRule="atLeast" w:line="245"/>
      <w:ind w:left="50" w:right="50"/>
    </w:pPr>
    <w:rPr>
      <w:rFonts w:ascii="Arial" w:hAnsi="Arial"/>
      <w:lang w:eastAsia="de-DE"/>
    </w:rPr>
  </w:style>
  <w:style w:type="paragraph" w:styleId="OmniPage781" w:customStyle="1">
    <w:name w:val="OmniPage #781"/>
    <w:basedOn w:val="Normal"/>
    <w:qFormat/>
    <w:rsid w:val="00f131fe"/>
    <w:pPr>
      <w:tabs>
        <w:tab w:val="clear" w:pos="709"/>
        <w:tab w:val="left" w:pos="2728" w:leader="none"/>
        <w:tab w:val="right" w:pos="7971" w:leader="none"/>
      </w:tabs>
      <w:suppressAutoHyphens w:val="false"/>
      <w:overflowPunct w:val="true"/>
      <w:spacing w:lineRule="atLeast" w:line="246"/>
      <w:ind w:left="64" w:right="1029"/>
    </w:pPr>
    <w:rPr>
      <w:rFonts w:ascii="Arial" w:hAnsi="Arial"/>
      <w:lang w:eastAsia="de-DE"/>
    </w:rPr>
  </w:style>
  <w:style w:type="paragraph" w:styleId="OmniPage782" w:customStyle="1">
    <w:name w:val="OmniPage #782"/>
    <w:basedOn w:val="Normal"/>
    <w:qFormat/>
    <w:rsid w:val="00f131fe"/>
    <w:pPr>
      <w:suppressAutoHyphens w:val="false"/>
      <w:overflowPunct w:val="true"/>
      <w:spacing w:lineRule="atLeast" w:line="223"/>
      <w:ind w:left="50" w:right="50"/>
    </w:pPr>
    <w:rPr>
      <w:rFonts w:ascii="Arial" w:hAnsi="Arial"/>
      <w:lang w:eastAsia="de-DE"/>
    </w:rPr>
  </w:style>
  <w:style w:type="paragraph" w:styleId="OmniPage783" w:customStyle="1">
    <w:name w:val="OmniPage #783"/>
    <w:basedOn w:val="Normal"/>
    <w:qFormat/>
    <w:rsid w:val="00f131fe"/>
    <w:pPr>
      <w:tabs>
        <w:tab w:val="clear" w:pos="709"/>
        <w:tab w:val="right" w:pos="9558" w:leader="none"/>
      </w:tabs>
      <w:suppressAutoHyphens w:val="false"/>
      <w:overflowPunct w:val="true"/>
      <w:spacing w:lineRule="atLeast" w:line="249"/>
      <w:ind w:left="50" w:right="50"/>
    </w:pPr>
    <w:rPr>
      <w:rFonts w:ascii="Arial" w:hAnsi="Arial"/>
      <w:lang w:eastAsia="de-DE"/>
    </w:rPr>
  </w:style>
  <w:style w:type="paragraph" w:styleId="OmniPage2567" w:customStyle="1">
    <w:name w:val="OmniPage #2567"/>
    <w:basedOn w:val="Normal"/>
    <w:qFormat/>
    <w:rsid w:val="00f131fe"/>
    <w:pPr>
      <w:suppressAutoHyphens w:val="false"/>
      <w:overflowPunct w:val="true"/>
      <w:spacing w:lineRule="atLeast" w:line="334"/>
      <w:ind w:left="99" w:right="177"/>
    </w:pPr>
    <w:rPr>
      <w:rFonts w:ascii="Arial" w:hAnsi="Arial"/>
      <w:lang w:eastAsia="de-DE"/>
    </w:rPr>
  </w:style>
  <w:style w:type="paragraph" w:styleId="OmniPage2568" w:customStyle="1">
    <w:name w:val="OmniPage #2568"/>
    <w:basedOn w:val="Normal"/>
    <w:qFormat/>
    <w:rsid w:val="00f131fe"/>
    <w:pPr>
      <w:tabs>
        <w:tab w:val="clear" w:pos="709"/>
        <w:tab w:val="right" w:pos="9613" w:leader="none"/>
      </w:tabs>
      <w:suppressAutoHyphens w:val="false"/>
      <w:overflowPunct w:val="true"/>
      <w:spacing w:lineRule="atLeast" w:line="332"/>
      <w:ind w:left="812" w:right="50"/>
    </w:pPr>
    <w:rPr>
      <w:rFonts w:ascii="Arial" w:hAnsi="Arial"/>
      <w:lang w:eastAsia="de-DE"/>
    </w:rPr>
  </w:style>
  <w:style w:type="paragraph" w:styleId="OmniPage2570" w:customStyle="1">
    <w:name w:val="OmniPage #2570"/>
    <w:basedOn w:val="Normal"/>
    <w:qFormat/>
    <w:rsid w:val="00f131fe"/>
    <w:pPr>
      <w:tabs>
        <w:tab w:val="clear" w:pos="709"/>
        <w:tab w:val="left" w:pos="5622" w:leader="none"/>
        <w:tab w:val="right" w:pos="8820" w:leader="none"/>
      </w:tabs>
      <w:suppressAutoHyphens w:val="false"/>
      <w:overflowPunct w:val="true"/>
      <w:spacing w:lineRule="atLeast" w:line="225"/>
      <w:ind w:left="817" w:right="843"/>
    </w:pPr>
    <w:rPr>
      <w:rFonts w:ascii="Arial" w:hAnsi="Arial"/>
      <w:lang w:eastAsia="de-DE"/>
    </w:rPr>
  </w:style>
  <w:style w:type="paragraph" w:styleId="OmniPage2571" w:customStyle="1">
    <w:name w:val="OmniPage #2571"/>
    <w:basedOn w:val="Normal"/>
    <w:qFormat/>
    <w:rsid w:val="00f131fe"/>
    <w:pPr>
      <w:tabs>
        <w:tab w:val="clear" w:pos="709"/>
        <w:tab w:val="left" w:pos="4143" w:leader="none"/>
        <w:tab w:val="right" w:pos="5911" w:leader="none"/>
      </w:tabs>
      <w:suppressAutoHyphens w:val="false"/>
      <w:overflowPunct w:val="true"/>
      <w:spacing w:lineRule="atLeast" w:line="225"/>
      <w:ind w:left="3332" w:right="3752"/>
    </w:pPr>
    <w:rPr>
      <w:rFonts w:ascii="Arial" w:hAnsi="Arial"/>
      <w:lang w:eastAsia="de-DE"/>
    </w:rPr>
  </w:style>
  <w:style w:type="paragraph" w:styleId="OmniPage2572" w:customStyle="1">
    <w:name w:val="OmniPage #2572"/>
    <w:basedOn w:val="Normal"/>
    <w:qFormat/>
    <w:rsid w:val="00f131fe"/>
    <w:pPr>
      <w:tabs>
        <w:tab w:val="clear" w:pos="709"/>
        <w:tab w:val="right" w:pos="9613" w:leader="none"/>
      </w:tabs>
      <w:suppressAutoHyphens w:val="false"/>
      <w:overflowPunct w:val="true"/>
      <w:spacing w:lineRule="atLeast" w:line="225"/>
      <w:ind w:left="821" w:right="50"/>
    </w:pPr>
    <w:rPr>
      <w:rFonts w:ascii="Arial" w:hAnsi="Arial"/>
      <w:lang w:eastAsia="de-DE"/>
    </w:rPr>
  </w:style>
  <w:style w:type="paragraph" w:styleId="OmniPage2573" w:customStyle="1">
    <w:name w:val="OmniPage #2573"/>
    <w:basedOn w:val="Normal"/>
    <w:qFormat/>
    <w:rsid w:val="00f131fe"/>
    <w:pPr>
      <w:tabs>
        <w:tab w:val="clear" w:pos="709"/>
        <w:tab w:val="left" w:pos="4666" w:leader="none"/>
        <w:tab w:val="left" w:pos="5242" w:leader="none"/>
        <w:tab w:val="right" w:pos="9613" w:leader="none"/>
      </w:tabs>
      <w:suppressAutoHyphens w:val="false"/>
      <w:overflowPunct w:val="true"/>
      <w:spacing w:lineRule="atLeast" w:line="335"/>
      <w:ind w:left="806" w:right="50"/>
    </w:pPr>
    <w:rPr>
      <w:rFonts w:ascii="Arial" w:hAnsi="Arial"/>
      <w:lang w:eastAsia="de-DE"/>
    </w:rPr>
  </w:style>
  <w:style w:type="paragraph" w:styleId="OmniPage2817" w:customStyle="1">
    <w:name w:val="OmniPage #2817"/>
    <w:basedOn w:val="Normal"/>
    <w:qFormat/>
    <w:rsid w:val="00f131fe"/>
    <w:pPr>
      <w:tabs>
        <w:tab w:val="clear" w:pos="709"/>
        <w:tab w:val="right" w:pos="9558" w:leader="none"/>
      </w:tabs>
      <w:suppressAutoHyphens w:val="false"/>
      <w:overflowPunct w:val="true"/>
      <w:spacing w:lineRule="atLeast" w:line="225"/>
      <w:ind w:left="777" w:right="50"/>
    </w:pPr>
    <w:rPr>
      <w:rFonts w:ascii="Arial" w:hAnsi="Arial"/>
      <w:lang w:eastAsia="de-DE"/>
    </w:rPr>
  </w:style>
  <w:style w:type="paragraph" w:styleId="OmniPage2818" w:customStyle="1">
    <w:name w:val="OmniPage #2818"/>
    <w:basedOn w:val="Normal"/>
    <w:qFormat/>
    <w:rsid w:val="00f131fe"/>
    <w:pPr>
      <w:suppressAutoHyphens w:val="false"/>
      <w:overflowPunct w:val="true"/>
      <w:spacing w:lineRule="atLeast" w:line="225"/>
      <w:ind w:left="782" w:right="2214"/>
    </w:pPr>
    <w:rPr>
      <w:rFonts w:ascii="Arial" w:hAnsi="Arial"/>
      <w:lang w:eastAsia="de-DE"/>
    </w:rPr>
  </w:style>
  <w:style w:type="paragraph" w:styleId="OmniPage2819" w:customStyle="1">
    <w:name w:val="OmniPage #2819"/>
    <w:basedOn w:val="Normal"/>
    <w:qFormat/>
    <w:rsid w:val="00f131fe"/>
    <w:pPr>
      <w:suppressAutoHyphens w:val="false"/>
      <w:overflowPunct w:val="true"/>
      <w:spacing w:lineRule="atLeast" w:line="303"/>
      <w:ind w:left="759" w:right="61"/>
    </w:pPr>
    <w:rPr>
      <w:rFonts w:ascii="Arial" w:hAnsi="Arial"/>
      <w:lang w:eastAsia="de-DE"/>
    </w:rPr>
  </w:style>
  <w:style w:type="paragraph" w:styleId="OmniPage3586" w:customStyle="1">
    <w:name w:val="OmniPage #3586"/>
    <w:basedOn w:val="Normal"/>
    <w:qFormat/>
    <w:rsid w:val="00f131fe"/>
    <w:pPr>
      <w:suppressAutoHyphens w:val="false"/>
      <w:overflowPunct w:val="true"/>
      <w:spacing w:lineRule="atLeast" w:line="431"/>
      <w:ind w:hanging="1344" w:left="1429" w:right="1077"/>
    </w:pPr>
    <w:rPr>
      <w:rFonts w:ascii="Arial" w:hAnsi="Arial"/>
      <w:lang w:eastAsia="de-DE"/>
    </w:rPr>
  </w:style>
  <w:style w:type="paragraph" w:styleId="OmniPage8" w:customStyle="1">
    <w:name w:val="OmniPage #8"/>
    <w:basedOn w:val="Normal"/>
    <w:qFormat/>
    <w:rsid w:val="00f131fe"/>
    <w:pPr>
      <w:tabs>
        <w:tab w:val="clear" w:pos="709"/>
        <w:tab w:val="left" w:pos="4920" w:leader="none"/>
        <w:tab w:val="right" w:pos="7193" w:leader="none"/>
      </w:tabs>
      <w:suppressAutoHyphens w:val="false"/>
      <w:overflowPunct w:val="true"/>
      <w:spacing w:lineRule="atLeast" w:line="346"/>
      <w:ind w:left="60" w:right="2475"/>
    </w:pPr>
    <w:rPr>
      <w:rFonts w:ascii="Arial" w:hAnsi="Arial"/>
      <w:lang w:eastAsia="de-DE"/>
    </w:rPr>
  </w:style>
  <w:style w:type="paragraph" w:styleId="OmniPage13" w:customStyle="1">
    <w:name w:val="OmniPage #13"/>
    <w:basedOn w:val="Normal"/>
    <w:qFormat/>
    <w:rsid w:val="00f131fe"/>
    <w:pPr>
      <w:tabs>
        <w:tab w:val="clear" w:pos="709"/>
        <w:tab w:val="left" w:pos="5760" w:leader="none"/>
        <w:tab w:val="left" w:pos="6735" w:leader="none"/>
        <w:tab w:val="left" w:pos="8655" w:leader="none"/>
        <w:tab w:val="right" w:pos="9623" w:leader="none"/>
      </w:tabs>
      <w:suppressAutoHyphens w:val="false"/>
      <w:overflowPunct w:val="true"/>
      <w:spacing w:lineRule="atLeast" w:line="247"/>
      <w:ind w:left="750" w:right="45"/>
    </w:pPr>
    <w:rPr>
      <w:rFonts w:ascii="Arial" w:hAnsi="Arial"/>
      <w:lang w:eastAsia="de-DE"/>
    </w:rPr>
  </w:style>
  <w:style w:type="paragraph" w:styleId="OmniPage22" w:customStyle="1">
    <w:name w:val="OmniPage #22"/>
    <w:basedOn w:val="Normal"/>
    <w:qFormat/>
    <w:rsid w:val="00f131fe"/>
    <w:pPr>
      <w:suppressAutoHyphens w:val="false"/>
      <w:overflowPunct w:val="true"/>
      <w:spacing w:lineRule="atLeast" w:line="240"/>
      <w:ind w:left="735" w:right="240"/>
    </w:pPr>
    <w:rPr>
      <w:rFonts w:ascii="Arial" w:hAnsi="Arial"/>
      <w:lang w:eastAsia="de-DE"/>
    </w:rPr>
  </w:style>
  <w:style w:type="paragraph" w:styleId="OmniPage23" w:customStyle="1">
    <w:name w:val="OmniPage #23"/>
    <w:basedOn w:val="Normal"/>
    <w:qFormat/>
    <w:rsid w:val="00f131fe"/>
    <w:pPr>
      <w:suppressAutoHyphens w:val="false"/>
      <w:overflowPunct w:val="true"/>
      <w:spacing w:lineRule="atLeast" w:line="240"/>
      <w:ind w:left="735" w:right="105"/>
    </w:pPr>
    <w:rPr>
      <w:rFonts w:ascii="Arial" w:hAnsi="Arial"/>
      <w:lang w:eastAsia="de-DE"/>
    </w:rPr>
  </w:style>
  <w:style w:type="paragraph" w:styleId="OmniPage5133" w:customStyle="1">
    <w:name w:val="OmniPage #5133"/>
    <w:basedOn w:val="Normal"/>
    <w:qFormat/>
    <w:rsid w:val="00f131fe"/>
    <w:pPr>
      <w:tabs>
        <w:tab w:val="clear" w:pos="709"/>
        <w:tab w:val="left" w:pos="650" w:leader="none"/>
        <w:tab w:val="left" w:pos="1605" w:leader="none"/>
        <w:tab w:val="left" w:pos="3621" w:leader="none"/>
        <w:tab w:val="left" w:pos="4048" w:leader="none"/>
        <w:tab w:val="left" w:pos="4663" w:leader="none"/>
        <w:tab w:val="left" w:pos="5704" w:leader="none"/>
        <w:tab w:val="left" w:pos="6515" w:leader="none"/>
        <w:tab w:val="left" w:pos="7005" w:leader="none"/>
        <w:tab w:val="right" w:pos="9401" w:leader="none"/>
      </w:tabs>
      <w:suppressAutoHyphens w:val="false"/>
      <w:overflowPunct w:val="true"/>
      <w:spacing w:lineRule="atLeast" w:line="256"/>
      <w:ind w:left="50" w:right="50"/>
    </w:pPr>
    <w:rPr>
      <w:rFonts w:ascii="Arial" w:hAnsi="Arial"/>
      <w:lang w:eastAsia="de-DE"/>
    </w:rPr>
  </w:style>
  <w:style w:type="paragraph" w:styleId="StartEnde" w:customStyle="1">
    <w:name w:val="StartEnde"/>
    <w:basedOn w:val="Normal"/>
    <w:qFormat/>
    <w:rsid w:val="00f131fe"/>
    <w:pPr>
      <w:suppressAutoHyphens w:val="false"/>
    </w:pPr>
    <w:rPr>
      <w:rFonts w:ascii="Arial" w:hAnsi="Arial" w:cs="Arial"/>
      <w:sz w:val="22"/>
      <w:szCs w:val="22"/>
      <w:lang w:eastAsia="de-DE"/>
    </w:rPr>
  </w:style>
  <w:style w:type="paragraph" w:styleId="Aufzhl" w:customStyle="1">
    <w:name w:val="Aufzähl"/>
    <w:basedOn w:val="Normal"/>
    <w:qFormat/>
    <w:rsid w:val="00f131fe"/>
    <w:pPr>
      <w:numPr>
        <w:ilvl w:val="0"/>
        <w:numId w:val="2"/>
      </w:numPr>
      <w:suppressAutoHyphens w:val="false"/>
      <w:jc w:val="both"/>
    </w:pPr>
    <w:rPr>
      <w:rFonts w:ascii="Arial" w:hAnsi="Arial"/>
      <w:sz w:val="22"/>
      <w:lang w:eastAsia="de-DE"/>
    </w:rPr>
  </w:style>
  <w:style w:type="paragraph" w:styleId="TOC1">
    <w:name w:val="TOC 1"/>
    <w:basedOn w:val="Normal"/>
    <w:next w:val="Normal"/>
    <w:autoRedefine/>
    <w:uiPriority w:val="39"/>
    <w:semiHidden/>
    <w:unhideWhenUsed/>
    <w:rsid w:val="007b0aa9"/>
    <w:pPr>
      <w:spacing w:before="0" w:after="100"/>
    </w:pPr>
    <w:rPr/>
  </w:style>
  <w:style w:type="paragraph" w:styleId="Msonormal" w:customStyle="1">
    <w:name w:val="msonormal"/>
    <w:basedOn w:val="Normal"/>
    <w:uiPriority w:val="99"/>
    <w:semiHidden/>
    <w:qFormat/>
    <w:rsid w:val="007b0aa9"/>
    <w:pPr>
      <w:suppressAutoHyphens w:val="false"/>
      <w:spacing w:beforeAutospacing="1" w:afterAutospacing="1"/>
      <w:ind w:right="113"/>
    </w:pPr>
    <w:rPr>
      <w:rFonts w:eastAsia="Calibri"/>
      <w:sz w:val="22"/>
      <w:szCs w:val="24"/>
      <w:lang w:eastAsia="de-DE"/>
    </w:rPr>
  </w:style>
  <w:style w:type="paragraph" w:styleId="Index1">
    <w:name w:val="index 1"/>
    <w:basedOn w:val="Normal"/>
    <w:next w:val="Normal"/>
    <w:autoRedefine/>
    <w:uiPriority w:val="99"/>
    <w:semiHidden/>
    <w:unhideWhenUsed/>
    <w:qFormat/>
    <w:rsid w:val="007b0aa9"/>
    <w:pPr>
      <w:suppressAutoHyphens w:val="false"/>
      <w:ind w:hanging="240" w:left="240" w:right="113"/>
      <w:jc w:val="both"/>
    </w:pPr>
    <w:rPr>
      <w:rFonts w:ascii="Calibri" w:hAnsi="Calibri"/>
      <w:sz w:val="22"/>
      <w:lang w:eastAsia="de-DE"/>
    </w:rPr>
  </w:style>
  <w:style w:type="paragraph" w:styleId="Index2">
    <w:name w:val="index 2"/>
    <w:basedOn w:val="Normal"/>
    <w:next w:val="Normal"/>
    <w:autoRedefine/>
    <w:uiPriority w:val="99"/>
    <w:semiHidden/>
    <w:unhideWhenUsed/>
    <w:qFormat/>
    <w:rsid w:val="007b0aa9"/>
    <w:pPr>
      <w:suppressAutoHyphens w:val="false"/>
      <w:ind w:hanging="240" w:left="480" w:right="113"/>
      <w:jc w:val="both"/>
    </w:pPr>
    <w:rPr>
      <w:rFonts w:ascii="Calibri" w:hAnsi="Calibri"/>
      <w:sz w:val="22"/>
      <w:lang w:eastAsia="de-DE"/>
    </w:rPr>
  </w:style>
  <w:style w:type="paragraph" w:styleId="Index3">
    <w:name w:val="index 3"/>
    <w:basedOn w:val="Normal"/>
    <w:next w:val="Normal"/>
    <w:autoRedefine/>
    <w:uiPriority w:val="99"/>
    <w:semiHidden/>
    <w:unhideWhenUsed/>
    <w:qFormat/>
    <w:rsid w:val="007b0aa9"/>
    <w:pPr>
      <w:suppressAutoHyphens w:val="false"/>
      <w:ind w:hanging="240" w:left="720" w:right="113"/>
      <w:jc w:val="both"/>
    </w:pPr>
    <w:rPr>
      <w:rFonts w:ascii="Calibri" w:hAnsi="Calibri"/>
      <w:sz w:val="22"/>
      <w:lang w:eastAsia="de-DE"/>
    </w:rPr>
  </w:style>
  <w:style w:type="paragraph" w:styleId="Index4">
    <w:name w:val="index 4"/>
    <w:basedOn w:val="Normal"/>
    <w:next w:val="Normal"/>
    <w:autoRedefine/>
    <w:uiPriority w:val="99"/>
    <w:semiHidden/>
    <w:unhideWhenUsed/>
    <w:qFormat/>
    <w:rsid w:val="007b0aa9"/>
    <w:pPr>
      <w:suppressAutoHyphens w:val="false"/>
      <w:ind w:hanging="240" w:left="960" w:right="113"/>
      <w:jc w:val="both"/>
    </w:pPr>
    <w:rPr>
      <w:rFonts w:ascii="Calibri" w:hAnsi="Calibri"/>
      <w:sz w:val="22"/>
      <w:lang w:eastAsia="de-DE"/>
    </w:rPr>
  </w:style>
  <w:style w:type="paragraph" w:styleId="Index5">
    <w:name w:val="index 5"/>
    <w:basedOn w:val="Normal"/>
    <w:next w:val="Normal"/>
    <w:autoRedefine/>
    <w:uiPriority w:val="99"/>
    <w:semiHidden/>
    <w:unhideWhenUsed/>
    <w:qFormat/>
    <w:rsid w:val="007b0aa9"/>
    <w:pPr>
      <w:suppressAutoHyphens w:val="false"/>
      <w:ind w:hanging="240" w:left="1200" w:right="113"/>
      <w:jc w:val="both"/>
    </w:pPr>
    <w:rPr>
      <w:rFonts w:ascii="Calibri" w:hAnsi="Calibri"/>
      <w:sz w:val="22"/>
      <w:lang w:eastAsia="de-DE"/>
    </w:rPr>
  </w:style>
  <w:style w:type="paragraph" w:styleId="Index6">
    <w:name w:val="index 6"/>
    <w:basedOn w:val="Normal"/>
    <w:next w:val="Normal"/>
    <w:autoRedefine/>
    <w:uiPriority w:val="99"/>
    <w:semiHidden/>
    <w:unhideWhenUsed/>
    <w:qFormat/>
    <w:rsid w:val="007b0aa9"/>
    <w:pPr>
      <w:suppressAutoHyphens w:val="false"/>
      <w:ind w:hanging="240" w:left="1440" w:right="113"/>
      <w:jc w:val="both"/>
    </w:pPr>
    <w:rPr>
      <w:rFonts w:ascii="Calibri" w:hAnsi="Calibri"/>
      <w:sz w:val="22"/>
      <w:lang w:eastAsia="de-DE"/>
    </w:rPr>
  </w:style>
  <w:style w:type="paragraph" w:styleId="Index7">
    <w:name w:val="index 7"/>
    <w:basedOn w:val="Normal"/>
    <w:next w:val="Normal"/>
    <w:autoRedefine/>
    <w:uiPriority w:val="99"/>
    <w:semiHidden/>
    <w:unhideWhenUsed/>
    <w:qFormat/>
    <w:rsid w:val="007b0aa9"/>
    <w:pPr>
      <w:suppressAutoHyphens w:val="false"/>
      <w:ind w:hanging="240" w:left="1680" w:right="113"/>
      <w:jc w:val="both"/>
    </w:pPr>
    <w:rPr>
      <w:rFonts w:ascii="Calibri" w:hAnsi="Calibri"/>
      <w:sz w:val="22"/>
      <w:lang w:eastAsia="de-DE"/>
    </w:rPr>
  </w:style>
  <w:style w:type="paragraph" w:styleId="Index8">
    <w:name w:val="index 8"/>
    <w:basedOn w:val="Normal"/>
    <w:next w:val="Normal"/>
    <w:autoRedefine/>
    <w:uiPriority w:val="99"/>
    <w:semiHidden/>
    <w:unhideWhenUsed/>
    <w:qFormat/>
    <w:rsid w:val="007b0aa9"/>
    <w:pPr>
      <w:suppressAutoHyphens w:val="false"/>
      <w:ind w:hanging="240" w:left="1920" w:right="113"/>
      <w:jc w:val="both"/>
    </w:pPr>
    <w:rPr>
      <w:rFonts w:ascii="Calibri" w:hAnsi="Calibri"/>
      <w:sz w:val="22"/>
      <w:lang w:eastAsia="de-DE"/>
    </w:rPr>
  </w:style>
  <w:style w:type="paragraph" w:styleId="Index9">
    <w:name w:val="index 9"/>
    <w:basedOn w:val="Normal"/>
    <w:next w:val="Normal"/>
    <w:autoRedefine/>
    <w:uiPriority w:val="99"/>
    <w:semiHidden/>
    <w:unhideWhenUsed/>
    <w:qFormat/>
    <w:rsid w:val="007b0aa9"/>
    <w:pPr>
      <w:suppressAutoHyphens w:val="false"/>
      <w:ind w:hanging="240" w:left="2160" w:right="113"/>
      <w:jc w:val="both"/>
    </w:pPr>
    <w:rPr>
      <w:rFonts w:ascii="Calibri" w:hAnsi="Calibri"/>
      <w:sz w:val="22"/>
      <w:lang w:eastAsia="de-DE"/>
    </w:rPr>
  </w:style>
  <w:style w:type="paragraph" w:styleId="TOC2">
    <w:name w:val="TOC 2"/>
    <w:basedOn w:val="Normal"/>
    <w:next w:val="Normal"/>
    <w:autoRedefine/>
    <w:uiPriority w:val="39"/>
    <w:semiHidden/>
    <w:unhideWhenUsed/>
    <w:rsid w:val="007b0aa9"/>
    <w:pPr>
      <w:tabs>
        <w:tab w:val="clear" w:pos="709"/>
        <w:tab w:val="right" w:pos="14276" w:leader="dot"/>
      </w:tabs>
      <w:suppressAutoHyphens w:val="false"/>
      <w:spacing w:before="120" w:after="0"/>
      <w:ind w:right="113"/>
    </w:pPr>
    <w:rPr>
      <w:rFonts w:ascii="Calibri" w:hAnsi="Calibri" w:cs="Arial"/>
      <w:b/>
      <w:sz w:val="24"/>
      <w:szCs w:val="22"/>
      <w:u w:val="single"/>
      <w:lang w:eastAsia="de-DE"/>
    </w:rPr>
  </w:style>
  <w:style w:type="paragraph" w:styleId="TOC3">
    <w:name w:val="TOC 3"/>
    <w:basedOn w:val="Normal"/>
    <w:next w:val="Normal"/>
    <w:autoRedefine/>
    <w:uiPriority w:val="39"/>
    <w:semiHidden/>
    <w:unhideWhenUsed/>
    <w:rsid w:val="007b0aa9"/>
    <w:pPr>
      <w:suppressAutoHyphens w:val="false"/>
      <w:ind w:left="440" w:right="113"/>
    </w:pPr>
    <w:rPr>
      <w:rFonts w:ascii="Calibri" w:hAnsi="Calibri"/>
      <w:lang w:eastAsia="de-DE"/>
    </w:rPr>
  </w:style>
  <w:style w:type="paragraph" w:styleId="TOC4">
    <w:name w:val="TOC 4"/>
    <w:basedOn w:val="Normal"/>
    <w:next w:val="Normal"/>
    <w:autoRedefine/>
    <w:uiPriority w:val="99"/>
    <w:semiHidden/>
    <w:unhideWhenUsed/>
    <w:rsid w:val="007b0aa9"/>
    <w:pPr>
      <w:suppressAutoHyphens w:val="false"/>
      <w:ind w:left="660" w:right="113"/>
    </w:pPr>
    <w:rPr>
      <w:rFonts w:ascii="Calibri" w:hAnsi="Calibri"/>
      <w:lang w:eastAsia="de-DE"/>
    </w:rPr>
  </w:style>
  <w:style w:type="paragraph" w:styleId="TOC5">
    <w:name w:val="TOC 5"/>
    <w:basedOn w:val="Normal"/>
    <w:next w:val="Normal"/>
    <w:autoRedefine/>
    <w:uiPriority w:val="99"/>
    <w:semiHidden/>
    <w:unhideWhenUsed/>
    <w:rsid w:val="007b0aa9"/>
    <w:pPr>
      <w:suppressAutoHyphens w:val="false"/>
      <w:ind w:left="880" w:right="113"/>
    </w:pPr>
    <w:rPr>
      <w:rFonts w:ascii="Calibri" w:hAnsi="Calibri"/>
      <w:lang w:eastAsia="de-DE"/>
    </w:rPr>
  </w:style>
  <w:style w:type="paragraph" w:styleId="TOC6">
    <w:name w:val="TOC 6"/>
    <w:basedOn w:val="Normal"/>
    <w:next w:val="Normal"/>
    <w:autoRedefine/>
    <w:uiPriority w:val="99"/>
    <w:semiHidden/>
    <w:unhideWhenUsed/>
    <w:rsid w:val="007b0aa9"/>
    <w:pPr>
      <w:suppressAutoHyphens w:val="false"/>
      <w:ind w:left="1100" w:right="113"/>
    </w:pPr>
    <w:rPr>
      <w:rFonts w:ascii="Calibri" w:hAnsi="Calibri"/>
      <w:lang w:eastAsia="de-DE"/>
    </w:rPr>
  </w:style>
  <w:style w:type="paragraph" w:styleId="TOC8">
    <w:name w:val="TOC 8"/>
    <w:basedOn w:val="Normal"/>
    <w:next w:val="Normal"/>
    <w:autoRedefine/>
    <w:uiPriority w:val="99"/>
    <w:semiHidden/>
    <w:unhideWhenUsed/>
    <w:rsid w:val="007b0aa9"/>
    <w:pPr>
      <w:suppressAutoHyphens w:val="false"/>
      <w:ind w:left="1540" w:right="113"/>
    </w:pPr>
    <w:rPr>
      <w:rFonts w:ascii="Calibri" w:hAnsi="Calibri"/>
      <w:lang w:eastAsia="de-DE"/>
    </w:rPr>
  </w:style>
  <w:style w:type="paragraph" w:styleId="TOC9">
    <w:name w:val="TOC 9"/>
    <w:basedOn w:val="Normal"/>
    <w:next w:val="Normal"/>
    <w:autoRedefine/>
    <w:uiPriority w:val="99"/>
    <w:semiHidden/>
    <w:unhideWhenUsed/>
    <w:rsid w:val="007b0aa9"/>
    <w:pPr>
      <w:suppressAutoHyphens w:val="false"/>
      <w:ind w:left="1760" w:right="113"/>
    </w:pPr>
    <w:rPr>
      <w:rFonts w:ascii="Calibri" w:hAnsi="Calibri"/>
      <w:lang w:eastAsia="de-DE"/>
    </w:rPr>
  </w:style>
  <w:style w:type="paragraph" w:styleId="Annotationtext">
    <w:name w:val="annotation text"/>
    <w:basedOn w:val="Normal"/>
    <w:link w:val="KommentartextZchn"/>
    <w:uiPriority w:val="99"/>
    <w:semiHidden/>
    <w:unhideWhenUsed/>
    <w:qFormat/>
    <w:rsid w:val="007b0aa9"/>
    <w:pPr>
      <w:suppressAutoHyphens w:val="false"/>
      <w:ind w:right="113"/>
      <w:jc w:val="both"/>
    </w:pPr>
    <w:rPr>
      <w:rFonts w:ascii="Calibri" w:hAnsi="Calibri"/>
      <w:lang w:eastAsia="de-DE"/>
    </w:rPr>
  </w:style>
  <w:style w:type="paragraph" w:styleId="Indexheading1">
    <w:name w:val="index heading1"/>
    <w:basedOn w:val="Normal"/>
    <w:next w:val="Index1"/>
    <w:uiPriority w:val="99"/>
    <w:semiHidden/>
    <w:unhideWhenUsed/>
    <w:qFormat/>
    <w:rsid w:val="007b0aa9"/>
    <w:pPr>
      <w:suppressAutoHyphens w:val="false"/>
      <w:ind w:right="113"/>
      <w:jc w:val="both"/>
    </w:pPr>
    <w:rPr>
      <w:rFonts w:ascii="Calibri" w:hAnsi="Calibri"/>
      <w:sz w:val="22"/>
      <w:lang w:eastAsia="de-DE"/>
    </w:rPr>
  </w:style>
  <w:style w:type="paragraph" w:styleId="Caption1">
    <w:name w:val="caption1"/>
    <w:basedOn w:val="Normal"/>
    <w:next w:val="Normal"/>
    <w:uiPriority w:val="99"/>
    <w:semiHidden/>
    <w:unhideWhenUsed/>
    <w:qFormat/>
    <w:rsid w:val="007b0aa9"/>
    <w:pPr>
      <w:suppressAutoHyphens w:val="false"/>
      <w:spacing w:before="0" w:after="120"/>
      <w:ind w:right="113"/>
      <w:jc w:val="both"/>
    </w:pPr>
    <w:rPr>
      <w:rFonts w:ascii="Calibri" w:hAnsi="Calibri"/>
      <w:b/>
      <w:sz w:val="22"/>
      <w:lang w:eastAsia="de-DE"/>
    </w:rPr>
  </w:style>
  <w:style w:type="paragraph" w:styleId="TableofFigures">
    <w:name w:val="Table of Figures"/>
    <w:basedOn w:val="Normal"/>
    <w:next w:val="Normal"/>
    <w:uiPriority w:val="99"/>
    <w:semiHidden/>
    <w:unhideWhenUsed/>
    <w:rsid w:val="007b0aa9"/>
    <w:pPr>
      <w:suppressAutoHyphens w:val="false"/>
      <w:ind w:hanging="480" w:left="480" w:right="113"/>
      <w:jc w:val="both"/>
    </w:pPr>
    <w:rPr>
      <w:rFonts w:ascii="Calibri" w:hAnsi="Calibri"/>
      <w:sz w:val="22"/>
      <w:lang w:eastAsia="de-DE"/>
    </w:rPr>
  </w:style>
  <w:style w:type="paragraph" w:styleId="Envelopeaddress">
    <w:name w:val="envelope address"/>
    <w:basedOn w:val="Normal"/>
    <w:uiPriority w:val="99"/>
    <w:semiHidden/>
    <w:unhideWhenUsed/>
    <w:qFormat/>
    <w:rsid w:val="007b0aa9"/>
    <w:pPr>
      <w:suppressAutoHyphens w:val="false"/>
      <w:ind w:right="113"/>
    </w:pPr>
    <w:rPr>
      <w:rFonts w:ascii="Cambria" w:hAnsi="Cambria"/>
      <w:sz w:val="22"/>
      <w:szCs w:val="24"/>
      <w:lang w:eastAsia="de-DE"/>
    </w:rPr>
  </w:style>
  <w:style w:type="paragraph" w:styleId="Title">
    <w:name w:val="Title"/>
    <w:basedOn w:val="Normal"/>
    <w:link w:val="TitelZchn"/>
    <w:uiPriority w:val="99"/>
    <w:qFormat/>
    <w:rsid w:val="007b0aa9"/>
    <w:pPr>
      <w:suppressAutoHyphens w:val="false"/>
      <w:ind w:right="-285"/>
      <w:jc w:val="center"/>
    </w:pPr>
    <w:rPr>
      <w:rFonts w:ascii="Calibri" w:hAnsi="Calibri"/>
      <w:b/>
      <w:sz w:val="32"/>
      <w:lang w:eastAsia="de-DE"/>
    </w:rPr>
  </w:style>
  <w:style w:type="paragraph" w:styleId="DocumentMap">
    <w:name w:val="Document Map"/>
    <w:basedOn w:val="Normal"/>
    <w:link w:val="DokumentstrukturZchn"/>
    <w:uiPriority w:val="99"/>
    <w:semiHidden/>
    <w:unhideWhenUsed/>
    <w:qFormat/>
    <w:rsid w:val="007b0aa9"/>
    <w:pPr>
      <w:shd w:val="clear" w:color="auto" w:fill="000080"/>
      <w:suppressAutoHyphens w:val="false"/>
      <w:ind w:right="113"/>
      <w:jc w:val="both"/>
    </w:pPr>
    <w:rPr>
      <w:rFonts w:ascii="Tahoma" w:hAnsi="Tahoma"/>
      <w:sz w:val="22"/>
      <w:lang w:eastAsia="de-DE"/>
    </w:rPr>
  </w:style>
  <w:style w:type="paragraph" w:styleId="PlainText">
    <w:name w:val="Plain Text"/>
    <w:basedOn w:val="Normal"/>
    <w:link w:val="NurTextZchn"/>
    <w:uiPriority w:val="99"/>
    <w:semiHidden/>
    <w:unhideWhenUsed/>
    <w:qFormat/>
    <w:rsid w:val="007b0aa9"/>
    <w:pPr>
      <w:suppressAutoHyphens w:val="false"/>
      <w:ind w:right="113"/>
    </w:pPr>
    <w:rPr>
      <w:rFonts w:ascii="Courier New" w:hAnsi="Courier New"/>
      <w:lang w:eastAsia="de-DE"/>
    </w:rPr>
  </w:style>
  <w:style w:type="paragraph" w:styleId="Annotationsubject">
    <w:name w:val="annotation subject"/>
    <w:basedOn w:val="Annotationtext"/>
    <w:next w:val="Annotationtext"/>
    <w:link w:val="KommentarthemaZchn"/>
    <w:uiPriority w:val="99"/>
    <w:semiHidden/>
    <w:unhideWhenUsed/>
    <w:qFormat/>
    <w:rsid w:val="007b0aa9"/>
    <w:pPr/>
    <w:rPr>
      <w:b/>
      <w:bCs/>
    </w:rPr>
  </w:style>
  <w:style w:type="paragraph" w:styleId="IndexHeading">
    <w:name w:val="Index Heading"/>
    <w:basedOn w:val="Berschrift"/>
    <w:pPr/>
    <w:rPr/>
  </w:style>
  <w:style w:type="paragraph" w:styleId="TOCHeading">
    <w:name w:val="TOC Heading"/>
    <w:basedOn w:val="Heading1"/>
    <w:next w:val="Normal"/>
    <w:uiPriority w:val="39"/>
    <w:semiHidden/>
    <w:unhideWhenUsed/>
    <w:qFormat/>
    <w:rsid w:val="007b0aa9"/>
    <w:pPr>
      <w:keepLines/>
      <w:numPr>
        <w:ilvl w:val="0"/>
        <w:numId w:val="0"/>
      </w:numPr>
      <w:tabs>
        <w:tab w:val="clear" w:pos="709"/>
        <w:tab w:val="left" w:pos="2694" w:leader="none"/>
      </w:tabs>
      <w:suppressAutoHyphens w:val="false"/>
      <w:spacing w:lineRule="auto" w:line="254" w:before="240" w:after="0"/>
      <w:outlineLvl w:val="9"/>
    </w:pPr>
    <w:rPr>
      <w:rFonts w:ascii="Cambria" w:hAnsi="Cambria" w:cs="Times New Roman"/>
      <w:b w:val="false"/>
      <w:color w:themeColor="accent1" w:themeShade="bf" w:val="365F91"/>
      <w:kern w:val="0"/>
      <w:sz w:val="32"/>
      <w:szCs w:val="32"/>
      <w:lang w:eastAsia="de-DE"/>
    </w:rPr>
  </w:style>
  <w:style w:type="paragraph" w:styleId="Punktaufzhlung" w:customStyle="1">
    <w:name w:val="Punktaufzählung"/>
    <w:basedOn w:val="Normal"/>
    <w:uiPriority w:val="99"/>
    <w:semiHidden/>
    <w:qFormat/>
    <w:rsid w:val="007b0aa9"/>
    <w:pPr>
      <w:numPr>
        <w:ilvl w:val="0"/>
        <w:numId w:val="6"/>
      </w:numPr>
      <w:suppressAutoHyphens w:val="false"/>
      <w:ind w:right="113"/>
      <w:jc w:val="both"/>
    </w:pPr>
    <w:rPr>
      <w:lang w:eastAsia="de-DE"/>
    </w:rPr>
  </w:style>
  <w:style w:type="paragraph" w:styleId="Flietext81" w:customStyle="1">
    <w:name w:val="Fließtext (8)"/>
    <w:basedOn w:val="Normal"/>
    <w:link w:val="Flietext8"/>
    <w:semiHidden/>
    <w:qFormat/>
    <w:rsid w:val="007b0aa9"/>
    <w:pPr>
      <w:widowControl w:val="false"/>
      <w:shd w:val="clear" w:color="auto" w:fill="FFFFFF"/>
      <w:suppressAutoHyphens w:val="false"/>
      <w:spacing w:lineRule="atLeast" w:line="0"/>
      <w:ind w:hanging="360"/>
    </w:pPr>
    <w:rPr>
      <w:rFonts w:ascii="Arial" w:hAnsi="Arial" w:eastAsia="Arial" w:cs="Arial"/>
      <w:sz w:val="21"/>
      <w:szCs w:val="21"/>
      <w:lang w:eastAsia="de-DE"/>
    </w:rPr>
  </w:style>
  <w:style w:type="paragraph" w:styleId="Flietext201" w:customStyle="1">
    <w:name w:val="Fließtext (20)"/>
    <w:basedOn w:val="Normal"/>
    <w:link w:val="Flietext20"/>
    <w:semiHidden/>
    <w:qFormat/>
    <w:rsid w:val="007b0aa9"/>
    <w:pPr>
      <w:widowControl w:val="false"/>
      <w:shd w:val="clear" w:color="auto" w:fill="FFFFFF"/>
      <w:suppressAutoHyphens w:val="false"/>
      <w:spacing w:lineRule="atLeast" w:line="0" w:before="0" w:after="480"/>
      <w:jc w:val="both"/>
    </w:pPr>
    <w:rPr>
      <w:rFonts w:ascii="Arial" w:hAnsi="Arial" w:eastAsia="Arial" w:cs="Arial"/>
      <w:b/>
      <w:bCs/>
      <w:sz w:val="23"/>
      <w:szCs w:val="23"/>
      <w:lang w:eastAsia="de-DE"/>
    </w:rPr>
  </w:style>
  <w:style w:type="paragraph" w:styleId="Flietext331" w:customStyle="1">
    <w:name w:val="Fließtext (33)"/>
    <w:basedOn w:val="Normal"/>
    <w:link w:val="Flietext33"/>
    <w:semiHidden/>
    <w:qFormat/>
    <w:rsid w:val="007b0aa9"/>
    <w:pPr>
      <w:widowControl w:val="false"/>
      <w:shd w:val="clear" w:color="auto" w:fill="FFFFFF"/>
      <w:suppressAutoHyphens w:val="false"/>
      <w:spacing w:lineRule="exact" w:line="552"/>
    </w:pPr>
    <w:rPr>
      <w:b/>
      <w:bCs/>
      <w:sz w:val="22"/>
      <w:szCs w:val="22"/>
      <w:lang w:eastAsia="de-DE"/>
    </w:rPr>
  </w:style>
  <w:style w:type="paragraph" w:styleId="Flietext1" w:customStyle="1">
    <w:name w:val="Fließtext1"/>
    <w:basedOn w:val="Normal"/>
    <w:uiPriority w:val="99"/>
    <w:semiHidden/>
    <w:qFormat/>
    <w:rsid w:val="007b0aa9"/>
    <w:pPr>
      <w:widowControl w:val="false"/>
      <w:shd w:val="clear" w:color="auto" w:fill="FFFFFF"/>
      <w:suppressAutoHyphens w:val="false"/>
      <w:spacing w:lineRule="atLeast" w:line="240" w:before="0" w:after="360"/>
      <w:ind w:hanging="480"/>
      <w:jc w:val="center"/>
    </w:pPr>
    <w:rPr>
      <w:rFonts w:ascii="Arial" w:hAnsi="Arial" w:cs="Arial"/>
      <w:lang w:eastAsia="de-DE"/>
    </w:rPr>
  </w:style>
  <w:style w:type="paragraph" w:styleId="Flietext101" w:customStyle="1">
    <w:name w:val="Fließtext (10)1"/>
    <w:basedOn w:val="Normal"/>
    <w:link w:val="Flietext10"/>
    <w:uiPriority w:val="99"/>
    <w:semiHidden/>
    <w:qFormat/>
    <w:rsid w:val="007b0aa9"/>
    <w:pPr>
      <w:widowControl w:val="false"/>
      <w:shd w:val="clear" w:color="auto" w:fill="FFFFFF"/>
      <w:suppressAutoHyphens w:val="false"/>
      <w:spacing w:lineRule="atLeast" w:line="240" w:before="900" w:after="240"/>
      <w:ind w:hanging="460"/>
      <w:jc w:val="both"/>
    </w:pPr>
    <w:rPr>
      <w:rFonts w:ascii="Arial" w:hAnsi="Arial" w:cs="Arial"/>
      <w:b/>
      <w:bCs/>
      <w:lang w:eastAsia="de-DE"/>
    </w:rPr>
  </w:style>
  <w:style w:type="paragraph" w:styleId="Flietext21" w:customStyle="1">
    <w:name w:val="Fließtext (2)1"/>
    <w:basedOn w:val="Normal"/>
    <w:link w:val="Flietext2"/>
    <w:semiHidden/>
    <w:qFormat/>
    <w:rsid w:val="007b0aa9"/>
    <w:pPr>
      <w:widowControl w:val="false"/>
      <w:shd w:val="clear" w:color="auto" w:fill="FFFFFF"/>
      <w:suppressAutoHyphens w:val="false"/>
      <w:spacing w:lineRule="exact" w:line="264"/>
      <w:jc w:val="both"/>
    </w:pPr>
    <w:rPr>
      <w:rFonts w:ascii="Calibri" w:hAnsi="Calibri" w:cs="Calibri"/>
      <w:lang w:eastAsia="de-DE"/>
    </w:rPr>
  </w:style>
  <w:style w:type="paragraph" w:styleId="Flietext31" w:customStyle="1">
    <w:name w:val="Fließtext (3)1"/>
    <w:basedOn w:val="Normal"/>
    <w:link w:val="Flietext3"/>
    <w:uiPriority w:val="99"/>
    <w:semiHidden/>
    <w:qFormat/>
    <w:rsid w:val="007b0aa9"/>
    <w:pPr>
      <w:widowControl w:val="false"/>
      <w:shd w:val="clear" w:color="auto" w:fill="FFFFFF"/>
      <w:suppressAutoHyphens w:val="false"/>
      <w:spacing w:lineRule="atLeast" w:line="240"/>
      <w:ind w:hanging="480"/>
    </w:pPr>
    <w:rPr>
      <w:rFonts w:ascii="Arial" w:hAnsi="Arial" w:cs="Arial"/>
      <w:b/>
      <w:bCs/>
      <w:lang w:eastAsia="de-DE"/>
    </w:rPr>
  </w:style>
  <w:style w:type="paragraph" w:styleId="Flietext111" w:customStyle="1">
    <w:name w:val="Fließtext (11)"/>
    <w:basedOn w:val="Normal"/>
    <w:link w:val="Flietext11"/>
    <w:uiPriority w:val="99"/>
    <w:semiHidden/>
    <w:qFormat/>
    <w:rsid w:val="007b0aa9"/>
    <w:pPr>
      <w:widowControl w:val="false"/>
      <w:shd w:val="clear" w:color="auto" w:fill="FFFFFF"/>
      <w:suppressAutoHyphens w:val="false"/>
      <w:spacing w:lineRule="atLeast" w:line="240" w:before="300" w:after="0"/>
      <w:ind w:hanging="440"/>
    </w:pPr>
    <w:rPr>
      <w:rFonts w:ascii="Arial" w:hAnsi="Arial" w:cs="Arial"/>
      <w:i/>
      <w:iCs/>
      <w:lang w:eastAsia="de-DE"/>
    </w:rPr>
  </w:style>
  <w:style w:type="paragraph" w:styleId="Berschrift1321" w:customStyle="1">
    <w:name w:val="Überschrift #13 (2)"/>
    <w:basedOn w:val="Normal"/>
    <w:link w:val="Berschrift132"/>
    <w:uiPriority w:val="99"/>
    <w:semiHidden/>
    <w:qFormat/>
    <w:rsid w:val="007b0aa9"/>
    <w:pPr>
      <w:widowControl w:val="false"/>
      <w:shd w:val="clear" w:color="auto" w:fill="FFFFFF"/>
      <w:suppressAutoHyphens w:val="false"/>
      <w:spacing w:lineRule="atLeast" w:line="240" w:before="60" w:after="180"/>
      <w:jc w:val="both"/>
    </w:pPr>
    <w:rPr>
      <w:rFonts w:ascii="Arial" w:hAnsi="Arial" w:cs="Arial"/>
      <w:b/>
      <w:bCs/>
      <w:lang w:eastAsia="de-DE"/>
    </w:rPr>
  </w:style>
  <w:style w:type="paragraph" w:styleId="Berschrift1331" w:customStyle="1">
    <w:name w:val="Überschrift #13 (3)"/>
    <w:basedOn w:val="Normal"/>
    <w:link w:val="Berschrift133"/>
    <w:uiPriority w:val="99"/>
    <w:semiHidden/>
    <w:qFormat/>
    <w:rsid w:val="007b0aa9"/>
    <w:pPr>
      <w:widowControl w:val="false"/>
      <w:shd w:val="clear" w:color="auto" w:fill="FFFFFF"/>
      <w:suppressAutoHyphens w:val="false"/>
      <w:spacing w:lineRule="atLeast" w:line="240" w:before="240" w:after="240"/>
    </w:pPr>
    <w:rPr>
      <w:rFonts w:ascii="Arial" w:hAnsi="Arial" w:cs="Arial"/>
      <w:b/>
      <w:bCs/>
      <w:i/>
      <w:iCs/>
      <w:lang w:eastAsia="de-DE"/>
    </w:rPr>
  </w:style>
  <w:style w:type="paragraph" w:styleId="Berschrift121" w:customStyle="1">
    <w:name w:val="Überschrift #12"/>
    <w:basedOn w:val="Normal"/>
    <w:link w:val="Berschrift12"/>
    <w:semiHidden/>
    <w:qFormat/>
    <w:rsid w:val="007b0aa9"/>
    <w:pPr>
      <w:widowControl w:val="false"/>
      <w:shd w:val="clear" w:color="auto" w:fill="FFFFFF"/>
      <w:suppressAutoHyphens w:val="false"/>
      <w:spacing w:lineRule="atLeast" w:line="0" w:before="0" w:after="240"/>
      <w:jc w:val="right"/>
    </w:pPr>
    <w:rPr>
      <w:rFonts w:ascii="Calibri" w:hAnsi="Calibri" w:eastAsia="Calibri" w:cs="Calibri"/>
      <w:b/>
      <w:bCs/>
      <w:spacing w:val="-40"/>
      <w:sz w:val="39"/>
      <w:szCs w:val="39"/>
      <w:lang w:eastAsia="de-DE"/>
    </w:rPr>
  </w:style>
  <w:style w:type="paragraph" w:styleId="Flietext22" w:customStyle="1">
    <w:name w:val="Fließtext (2)"/>
    <w:basedOn w:val="Normal"/>
    <w:uiPriority w:val="99"/>
    <w:semiHidden/>
    <w:qFormat/>
    <w:rsid w:val="007b0aa9"/>
    <w:pPr>
      <w:widowControl w:val="false"/>
      <w:shd w:val="clear" w:color="auto" w:fill="FFFFFF"/>
      <w:suppressAutoHyphens w:val="false"/>
      <w:spacing w:lineRule="exact" w:line="581" w:before="1260" w:after="480"/>
      <w:ind w:hanging="1980"/>
    </w:pPr>
    <w:rPr>
      <w:rFonts w:ascii="Arial Unicode MS" w:hAnsi="Arial Unicode MS"/>
      <w:color w:val="000000"/>
      <w:sz w:val="21"/>
      <w:szCs w:val="21"/>
      <w:lang w:eastAsia="de-DE"/>
    </w:rPr>
  </w:style>
  <w:style w:type="paragraph" w:styleId="Flietext291" w:customStyle="1">
    <w:name w:val="Fließtext (29)"/>
    <w:basedOn w:val="Normal"/>
    <w:link w:val="Flietext29"/>
    <w:semiHidden/>
    <w:qFormat/>
    <w:rsid w:val="007b0aa9"/>
    <w:pPr>
      <w:widowControl w:val="false"/>
      <w:shd w:val="clear" w:color="auto" w:fill="FFFFFF"/>
      <w:suppressAutoHyphens w:val="false"/>
      <w:spacing w:lineRule="exact" w:line="250" w:before="0" w:after="60"/>
      <w:ind w:hanging="440"/>
    </w:pPr>
    <w:rPr>
      <w:rFonts w:ascii="Arial Unicode MS" w:hAnsi="Arial Unicode MS" w:eastAsia="Arial Unicode MS" w:cs="Arial Unicode MS"/>
      <w:i/>
      <w:iCs/>
      <w:spacing w:val="-10"/>
      <w:sz w:val="21"/>
      <w:szCs w:val="21"/>
      <w:lang w:eastAsia="de-DE"/>
    </w:rPr>
  </w:style>
  <w:style w:type="paragraph" w:styleId="Flietext231" w:customStyle="1">
    <w:name w:val="Fließtext (23)"/>
    <w:basedOn w:val="Normal"/>
    <w:link w:val="Flietext23"/>
    <w:semiHidden/>
    <w:qFormat/>
    <w:rsid w:val="007b0aa9"/>
    <w:pPr>
      <w:widowControl w:val="false"/>
      <w:shd w:val="clear" w:color="auto" w:fill="FFFFFF"/>
      <w:suppressAutoHyphens w:val="false"/>
      <w:spacing w:lineRule="atLeast" w:line="0" w:before="0" w:after="180"/>
      <w:jc w:val="both"/>
    </w:pPr>
    <w:rPr>
      <w:rFonts w:ascii="Microsoft Sans Serif" w:hAnsi="Microsoft Sans Serif" w:eastAsia="Microsoft Sans Serif" w:cs="Microsoft Sans Serif"/>
      <w:sz w:val="22"/>
      <w:szCs w:val="22"/>
      <w:lang w:eastAsia="de-DE"/>
    </w:rPr>
  </w:style>
  <w:style w:type="numbering" w:styleId="NoList" w:default="1">
    <w:name w:val="No List"/>
    <w:uiPriority w:val="99"/>
    <w:semiHidden/>
    <w:unhideWhenUsed/>
    <w:qFormat/>
  </w:style>
  <w:style w:type="numbering" w:styleId="KeineListe1" w:customStyle="1">
    <w:name w:val="Keine Liste1"/>
    <w:uiPriority w:val="99"/>
    <w:semiHidden/>
    <w:unhideWhenUsed/>
    <w:qFormat/>
    <w:rsid w:val="00f131fe"/>
  </w:style>
  <w:style w:type="numbering" w:styleId="KeineListe2" w:customStyle="1">
    <w:name w:val="Keine Liste2"/>
    <w:uiPriority w:val="99"/>
    <w:semiHidden/>
    <w:unhideWhenUsed/>
    <w:qFormat/>
    <w:rsid w:val="007b0aa9"/>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59"/>
    <w:rsid w:val="00112fab"/>
    <w:rPr>
      <w:rFonts w:asciiTheme="minorHAnsi" w:hAnsiTheme="minorHAnsi" w:eastAsiaTheme="minorHAnsi" w:cstheme="minorBidi"/>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ellenraster1">
    <w:name w:val="Tabellenraster1"/>
    <w:basedOn w:val="NormaleTabelle"/>
    <w:uiPriority w:val="59"/>
    <w:rsid w:val="007b0aa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hyperlink" Target="mailto:erdgeschichte@gdke.rlp.de" TargetMode="External"/><Relationship Id="rId6" Type="http://schemas.openxmlformats.org/officeDocument/2006/relationships/hyperlink" Target="mailto:landesdenkmalpflege@gdke.rlp.de" TargetMode="External"/><Relationship Id="rId7" Type="http://schemas.openxmlformats.org/officeDocument/2006/relationships/hyperlink" Target="https://mkuem.rlp.de/):" TargetMode="External"/><Relationship Id="rId8" Type="http://schemas.openxmlformats.org/officeDocument/2006/relationships/image" Target="media/image1.png"/><Relationship Id="rId9" Type="http://schemas.openxmlformats.org/officeDocument/2006/relationships/image" Target="media/image2.wmf"/><Relationship Id="rId10" Type="http://schemas.openxmlformats.org/officeDocument/2006/relationships/image" Target="media/image3.wmf"/><Relationship Id="rId11" Type="http://schemas.openxmlformats.org/officeDocument/2006/relationships/image" Target="media/image4.wmf"/><Relationship Id="rId12" Type="http://schemas.openxmlformats.org/officeDocument/2006/relationships/image" Target="media/image5.wmf"/><Relationship Id="rId13" Type="http://schemas.openxmlformats.org/officeDocument/2006/relationships/image" Target="media/image6.wmf"/><Relationship Id="rId14" Type="http://schemas.openxmlformats.org/officeDocument/2006/relationships/header" Target="header4.xml"/><Relationship Id="rId15" Type="http://schemas.openxmlformats.org/officeDocument/2006/relationships/header" Target="header5.xml"/><Relationship Id="rId16" Type="http://schemas.openxmlformats.org/officeDocument/2006/relationships/header" Target="header6.xml"/><Relationship Id="rId17" Type="http://schemas.openxmlformats.org/officeDocument/2006/relationships/image" Target="media/image7.jpeg"/><Relationship Id="rId18" Type="http://schemas.openxmlformats.org/officeDocument/2006/relationships/image" Target="media/image8.wmf"/><Relationship Id="rId19" Type="http://schemas.openxmlformats.org/officeDocument/2006/relationships/header" Target="header7.xml"/><Relationship Id="rId20" Type="http://schemas.openxmlformats.org/officeDocument/2006/relationships/header" Target="header8.xml"/><Relationship Id="rId21" Type="http://schemas.openxmlformats.org/officeDocument/2006/relationships/header" Target="header9.xml"/><Relationship Id="rId22" Type="http://schemas.openxmlformats.org/officeDocument/2006/relationships/numbering" Target="numbering.xml"/><Relationship Id="rId23" Type="http://schemas.openxmlformats.org/officeDocument/2006/relationships/fontTable" Target="fontTable.xml"/><Relationship Id="rId24" Type="http://schemas.openxmlformats.org/officeDocument/2006/relationships/settings" Target="settings.xml"/><Relationship Id="rId25" Type="http://schemas.openxmlformats.org/officeDocument/2006/relationships/theme" Target="theme/theme1.xml"/><Relationship Id="rId26"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Larissa">
  <a:themeElements>
    <a:clrScheme name="Larissa">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50D78-9D05-4A4E-9654-C38C1CDAA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Application>LibreOffice/24.2.1.2$Windows_X86_64 LibreOffice_project/db4def46b0453cc22e2d0305797cf981b68ef5ac</Application>
  <AppVersion>15.0000</AppVersion>
  <DocSecurity>4</DocSecurity>
  <Pages>45</Pages>
  <Words>9577</Words>
  <Characters>65211</Characters>
  <CharactersWithSpaces>74343</CharactersWithSpaces>
  <Paragraphs>481</Paragraphs>
  <Company>VG Bernkastel-Kues</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2024-08-08T13:21:00Z</dcterms:created>
  <dc:creator>Rainer Blasius</dc:creator>
  <dc:description/>
  <dc:language>de-DE</dc:language>
  <cp:lastModifiedBy>Elena Jensen</cp:lastModifiedBy>
  <cp:lastPrinted>2023-09-20T10:55:00Z</cp:lastPrinted>
  <dcterms:modified xsi:type="dcterms:W3CDTF">2024-08-08T13:21:00Z</dcterms:modified>
  <cp:revision>2</cp:revision>
  <dc:subject/>
  <dc:title>Niederschrift</dc:title>
</cp:coreProperties>
</file>

<file path=docProps/custom.xml><?xml version="1.0" encoding="utf-8"?>
<Properties xmlns="http://schemas.openxmlformats.org/officeDocument/2006/custom-properties" xmlns:vt="http://schemas.openxmlformats.org/officeDocument/2006/docPropsVTypes"/>
</file>